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DB85" w14:textId="229480D9" w:rsidR="004C4E96" w:rsidRPr="002B0113" w:rsidRDefault="004C4E96" w:rsidP="004C4E96">
      <w:pPr>
        <w:pStyle w:val="Heading3"/>
      </w:pPr>
      <w:r>
        <w:rPr>
          <w:sz w:val="22"/>
        </w:rPr>
        <w:t>Supplementary T</w:t>
      </w:r>
      <w:r w:rsidRPr="00A92949">
        <w:rPr>
          <w:sz w:val="22"/>
        </w:rPr>
        <w:t xml:space="preserve">able </w:t>
      </w:r>
      <w:r w:rsidR="009F5AB4">
        <w:rPr>
          <w:sz w:val="22"/>
        </w:rPr>
        <w:t>2</w:t>
      </w:r>
      <w:bookmarkStart w:id="0" w:name="_GoBack"/>
      <w:bookmarkEnd w:id="0"/>
      <w:r w:rsidRPr="00A92949">
        <w:rPr>
          <w:sz w:val="22"/>
        </w:rPr>
        <w:t xml:space="preserve">: Primer sequences for </w:t>
      </w:r>
      <w:proofErr w:type="spellStart"/>
      <w:r>
        <w:rPr>
          <w:sz w:val="22"/>
        </w:rPr>
        <w:t>q</w:t>
      </w:r>
      <w:r w:rsidRPr="00A92949">
        <w:rPr>
          <w:sz w:val="22"/>
        </w:rPr>
        <w:t>RT</w:t>
      </w:r>
      <w:proofErr w:type="spellEnd"/>
      <w:r w:rsidRPr="00A92949">
        <w:rPr>
          <w:sz w:val="22"/>
        </w:rPr>
        <w:t>-PCR.</w:t>
      </w:r>
    </w:p>
    <w:tbl>
      <w:tblPr>
        <w:tblStyle w:val="PlainTable2"/>
        <w:tblW w:w="12834" w:type="dxa"/>
        <w:tblLook w:val="0420" w:firstRow="1" w:lastRow="0" w:firstColumn="0" w:lastColumn="0" w:noHBand="0" w:noVBand="1"/>
      </w:tblPr>
      <w:tblGrid>
        <w:gridCol w:w="3649"/>
        <w:gridCol w:w="1024"/>
        <w:gridCol w:w="4347"/>
        <w:gridCol w:w="3814"/>
      </w:tblGrid>
      <w:tr w:rsidR="004C4E96" w:rsidRPr="00A92949" w14:paraId="620C74F2" w14:textId="77777777" w:rsidTr="00FF28FE">
        <w:trPr>
          <w:gridAfter w:val="1"/>
          <w:cnfStyle w:val="100000000000" w:firstRow="1" w:lastRow="0" w:firstColumn="0" w:lastColumn="0" w:oddVBand="0" w:evenVBand="0" w:oddHBand="0" w:evenHBand="0" w:firstRowFirstColumn="0" w:firstRowLastColumn="0" w:lastRowFirstColumn="0" w:lastRowLastColumn="0"/>
        </w:trPr>
        <w:tc>
          <w:tcPr>
            <w:tcW w:w="3649" w:type="dxa"/>
            <w:vAlign w:val="center"/>
          </w:tcPr>
          <w:p w14:paraId="335A35BD" w14:textId="77777777" w:rsidR="004C4E96" w:rsidRPr="00A92949" w:rsidRDefault="004C4E96" w:rsidP="00FF28FE">
            <w:pPr>
              <w:jc w:val="left"/>
            </w:pPr>
            <w:r>
              <w:t>RT-PCR</w:t>
            </w:r>
            <w:r w:rsidRPr="00A92949">
              <w:t xml:space="preserve"> primer</w:t>
            </w:r>
          </w:p>
        </w:tc>
        <w:tc>
          <w:tcPr>
            <w:tcW w:w="1024" w:type="dxa"/>
            <w:vAlign w:val="center"/>
          </w:tcPr>
          <w:p w14:paraId="26CC64E2" w14:textId="77777777" w:rsidR="004C4E96" w:rsidRPr="00A92949" w:rsidRDefault="004C4E96" w:rsidP="00FF28FE">
            <w:pPr>
              <w:jc w:val="left"/>
            </w:pPr>
            <w:r>
              <w:t>species</w:t>
            </w:r>
          </w:p>
        </w:tc>
        <w:tc>
          <w:tcPr>
            <w:tcW w:w="4347" w:type="dxa"/>
            <w:vAlign w:val="center"/>
          </w:tcPr>
          <w:p w14:paraId="0A47080C" w14:textId="77777777" w:rsidR="004C4E96" w:rsidRPr="00A92949" w:rsidRDefault="004C4E96" w:rsidP="00FF28FE">
            <w:pPr>
              <w:jc w:val="left"/>
            </w:pPr>
            <w:r w:rsidRPr="00A92949">
              <w:t>sequence (5’-3’)</w:t>
            </w:r>
          </w:p>
        </w:tc>
      </w:tr>
      <w:tr w:rsidR="004C4E96" w:rsidRPr="004372AF" w14:paraId="27EF67FD"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12EF57C9" w14:textId="77777777" w:rsidR="004C4E96" w:rsidRPr="004372AF" w:rsidRDefault="004C4E96" w:rsidP="00FF28FE">
            <w:pPr>
              <w:contextualSpacing/>
              <w:jc w:val="left"/>
              <w:rPr>
                <w:rFonts w:cs="Arial"/>
              </w:rPr>
            </w:pPr>
            <w:r w:rsidRPr="004372AF">
              <w:rPr>
                <w:rFonts w:cs="Arial"/>
              </w:rPr>
              <w:t>Axin2_fwd</w:t>
            </w:r>
          </w:p>
        </w:tc>
        <w:tc>
          <w:tcPr>
            <w:tcW w:w="1024" w:type="dxa"/>
            <w:vAlign w:val="center"/>
          </w:tcPr>
          <w:p w14:paraId="030774C4"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50174643" w14:textId="77777777" w:rsidR="004C4E96" w:rsidRPr="004372AF" w:rsidRDefault="004C4E96" w:rsidP="00FF28FE">
            <w:pPr>
              <w:pStyle w:val="Default"/>
              <w:rPr>
                <w:sz w:val="20"/>
                <w:szCs w:val="20"/>
              </w:rPr>
            </w:pPr>
            <w:r w:rsidRPr="004372AF">
              <w:rPr>
                <w:sz w:val="20"/>
                <w:szCs w:val="20"/>
              </w:rPr>
              <w:t xml:space="preserve">AGTCAGCAGAGGGACAGGAA </w:t>
            </w:r>
          </w:p>
        </w:tc>
      </w:tr>
      <w:tr w:rsidR="004C4E96" w:rsidRPr="004372AF" w14:paraId="2EDFE708" w14:textId="77777777" w:rsidTr="00FF28FE">
        <w:trPr>
          <w:gridAfter w:val="1"/>
        </w:trPr>
        <w:tc>
          <w:tcPr>
            <w:tcW w:w="3649" w:type="dxa"/>
            <w:vAlign w:val="center"/>
          </w:tcPr>
          <w:p w14:paraId="267511C1" w14:textId="77777777" w:rsidR="004C4E96" w:rsidRPr="004372AF" w:rsidRDefault="004C4E96" w:rsidP="00FF28FE">
            <w:pPr>
              <w:contextualSpacing/>
              <w:jc w:val="left"/>
              <w:rPr>
                <w:rFonts w:cs="Arial"/>
              </w:rPr>
            </w:pPr>
            <w:r w:rsidRPr="004372AF">
              <w:rPr>
                <w:rFonts w:cs="Arial"/>
              </w:rPr>
              <w:t>Axin2_rev</w:t>
            </w:r>
          </w:p>
        </w:tc>
        <w:tc>
          <w:tcPr>
            <w:tcW w:w="1024" w:type="dxa"/>
            <w:vAlign w:val="center"/>
          </w:tcPr>
          <w:p w14:paraId="7436DF78"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7827EDEF" w14:textId="77777777" w:rsidR="004C4E96" w:rsidRPr="004372AF" w:rsidRDefault="004C4E96" w:rsidP="00FF28FE">
            <w:pPr>
              <w:pStyle w:val="Default"/>
              <w:rPr>
                <w:sz w:val="20"/>
                <w:szCs w:val="20"/>
              </w:rPr>
            </w:pPr>
            <w:r w:rsidRPr="004372AF">
              <w:rPr>
                <w:sz w:val="20"/>
                <w:szCs w:val="20"/>
              </w:rPr>
              <w:t xml:space="preserve">CTTCGTACATGGGGAGCACT </w:t>
            </w:r>
          </w:p>
        </w:tc>
      </w:tr>
      <w:tr w:rsidR="004C4E96" w:rsidRPr="004372AF" w14:paraId="62D5D8EE"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5EAEE576" w14:textId="77777777" w:rsidR="004C4E96" w:rsidRPr="004372AF" w:rsidRDefault="004C4E96" w:rsidP="00FF28FE">
            <w:pPr>
              <w:contextualSpacing/>
              <w:jc w:val="left"/>
              <w:rPr>
                <w:rFonts w:cs="Arial"/>
              </w:rPr>
            </w:pPr>
            <w:r w:rsidRPr="004372AF">
              <w:rPr>
                <w:rFonts w:cs="Arial"/>
              </w:rPr>
              <w:t>ChgA_fwd</w:t>
            </w:r>
          </w:p>
        </w:tc>
        <w:tc>
          <w:tcPr>
            <w:tcW w:w="1024" w:type="dxa"/>
            <w:vAlign w:val="center"/>
          </w:tcPr>
          <w:p w14:paraId="76A5CB9C"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51812784"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AGAAGTGTTTGAGAACCAGAGCCC</w:t>
            </w:r>
          </w:p>
        </w:tc>
      </w:tr>
      <w:tr w:rsidR="004C4E96" w:rsidRPr="004372AF" w14:paraId="0EEE7735" w14:textId="77777777" w:rsidTr="00FF28FE">
        <w:trPr>
          <w:gridAfter w:val="1"/>
        </w:trPr>
        <w:tc>
          <w:tcPr>
            <w:tcW w:w="3649" w:type="dxa"/>
            <w:vAlign w:val="center"/>
          </w:tcPr>
          <w:p w14:paraId="40F00478" w14:textId="77777777" w:rsidR="004C4E96" w:rsidRPr="004372AF" w:rsidRDefault="004C4E96" w:rsidP="00FF28FE">
            <w:pPr>
              <w:contextualSpacing/>
              <w:jc w:val="left"/>
              <w:rPr>
                <w:rFonts w:cs="Arial"/>
              </w:rPr>
            </w:pPr>
            <w:r w:rsidRPr="004372AF">
              <w:rPr>
                <w:rFonts w:cs="Arial"/>
              </w:rPr>
              <w:t>ChgA_rev</w:t>
            </w:r>
          </w:p>
        </w:tc>
        <w:tc>
          <w:tcPr>
            <w:tcW w:w="1024" w:type="dxa"/>
            <w:vAlign w:val="center"/>
          </w:tcPr>
          <w:p w14:paraId="52E8398C"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31F4946A"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TTGGTGATTGGGTATTGGTGGCTG</w:t>
            </w:r>
          </w:p>
        </w:tc>
      </w:tr>
      <w:tr w:rsidR="004C4E96" w:rsidRPr="004372AF" w14:paraId="2DAB2336"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6D5FF7C7" w14:textId="77777777" w:rsidR="004C4E96" w:rsidRPr="004372AF" w:rsidRDefault="004C4E96" w:rsidP="00FF28FE">
            <w:pPr>
              <w:contextualSpacing/>
              <w:jc w:val="left"/>
              <w:rPr>
                <w:rFonts w:cs="Arial"/>
              </w:rPr>
            </w:pPr>
            <w:r w:rsidRPr="004372AF">
              <w:rPr>
                <w:rFonts w:cs="Arial"/>
              </w:rPr>
              <w:t>EphB2_fwd</w:t>
            </w:r>
          </w:p>
        </w:tc>
        <w:tc>
          <w:tcPr>
            <w:tcW w:w="1024" w:type="dxa"/>
            <w:vAlign w:val="center"/>
          </w:tcPr>
          <w:p w14:paraId="15B19118"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58180CAD"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ACTATGAGAAGCAGGAGCTCAGT</w:t>
            </w:r>
          </w:p>
        </w:tc>
      </w:tr>
      <w:tr w:rsidR="004C4E96" w:rsidRPr="004372AF" w14:paraId="206653F8" w14:textId="77777777" w:rsidTr="00FF28FE">
        <w:trPr>
          <w:gridAfter w:val="1"/>
        </w:trPr>
        <w:tc>
          <w:tcPr>
            <w:tcW w:w="3649" w:type="dxa"/>
            <w:vAlign w:val="center"/>
          </w:tcPr>
          <w:p w14:paraId="1972AAB5" w14:textId="77777777" w:rsidR="004C4E96" w:rsidRPr="004372AF" w:rsidRDefault="004C4E96" w:rsidP="00FF28FE">
            <w:pPr>
              <w:contextualSpacing/>
              <w:jc w:val="left"/>
              <w:rPr>
                <w:rFonts w:cs="Arial"/>
              </w:rPr>
            </w:pPr>
            <w:r w:rsidRPr="004372AF">
              <w:rPr>
                <w:rFonts w:cs="Arial"/>
              </w:rPr>
              <w:t>EphB2_rev</w:t>
            </w:r>
          </w:p>
        </w:tc>
        <w:tc>
          <w:tcPr>
            <w:tcW w:w="1024" w:type="dxa"/>
            <w:vAlign w:val="center"/>
          </w:tcPr>
          <w:p w14:paraId="5F0B9E4B"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5BC49A75"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GCTCAAACCCCCGTCTGTT</w:t>
            </w:r>
          </w:p>
        </w:tc>
      </w:tr>
      <w:tr w:rsidR="004C4E96" w:rsidRPr="004372AF" w14:paraId="15AA5DB3"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10B0264A" w14:textId="77777777" w:rsidR="004C4E96" w:rsidRPr="004372AF" w:rsidRDefault="004C4E96" w:rsidP="00FF28FE">
            <w:pPr>
              <w:contextualSpacing/>
              <w:jc w:val="left"/>
              <w:rPr>
                <w:rFonts w:cs="Arial"/>
              </w:rPr>
            </w:pPr>
            <w:r w:rsidRPr="004372AF">
              <w:rPr>
                <w:rFonts w:cs="Arial"/>
              </w:rPr>
              <w:t>EphB3_fwd</w:t>
            </w:r>
          </w:p>
        </w:tc>
        <w:tc>
          <w:tcPr>
            <w:tcW w:w="1024" w:type="dxa"/>
            <w:vAlign w:val="center"/>
          </w:tcPr>
          <w:p w14:paraId="50B9AC83"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7E1C104D"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TTCACGACAGTGGGTGACTG</w:t>
            </w:r>
          </w:p>
        </w:tc>
      </w:tr>
      <w:tr w:rsidR="004C4E96" w:rsidRPr="00A207FB" w14:paraId="2CF03330" w14:textId="77777777" w:rsidTr="00FF28FE">
        <w:trPr>
          <w:gridAfter w:val="1"/>
        </w:trPr>
        <w:tc>
          <w:tcPr>
            <w:tcW w:w="3649" w:type="dxa"/>
            <w:vAlign w:val="center"/>
          </w:tcPr>
          <w:p w14:paraId="43D95C17" w14:textId="77777777" w:rsidR="004C4E96" w:rsidRPr="004372AF" w:rsidRDefault="004C4E96" w:rsidP="00FF28FE">
            <w:pPr>
              <w:contextualSpacing/>
              <w:jc w:val="left"/>
              <w:rPr>
                <w:rFonts w:cs="Arial"/>
              </w:rPr>
            </w:pPr>
            <w:r w:rsidRPr="004372AF">
              <w:rPr>
                <w:rFonts w:cs="Arial"/>
              </w:rPr>
              <w:t>EphB3_rev</w:t>
            </w:r>
          </w:p>
        </w:tc>
        <w:tc>
          <w:tcPr>
            <w:tcW w:w="1024" w:type="dxa"/>
            <w:vAlign w:val="center"/>
          </w:tcPr>
          <w:p w14:paraId="04AEC3D0"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3F9AB3CA" w14:textId="77777777" w:rsidR="004C4E96" w:rsidRPr="00A207FB" w:rsidRDefault="004C4E96" w:rsidP="00FF28FE">
            <w:pPr>
              <w:contextualSpacing/>
              <w:jc w:val="left"/>
              <w:rPr>
                <w:rFonts w:eastAsia="Times New Roman" w:cs="Arial"/>
                <w:lang w:eastAsia="en-GB"/>
              </w:rPr>
            </w:pPr>
            <w:r w:rsidRPr="004372AF">
              <w:rPr>
                <w:rFonts w:eastAsia="Times New Roman" w:cs="Arial"/>
                <w:lang w:eastAsia="en-GB"/>
              </w:rPr>
              <w:t>CGTTGGAGCTGAGTGTCAGA</w:t>
            </w:r>
          </w:p>
        </w:tc>
      </w:tr>
      <w:tr w:rsidR="004C4E96" w:rsidRPr="00A207FB" w14:paraId="2615FD12"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15E87402" w14:textId="77777777" w:rsidR="004C4E96" w:rsidRPr="00C626D3" w:rsidRDefault="004C4E96" w:rsidP="00FF28FE">
            <w:pPr>
              <w:contextualSpacing/>
              <w:jc w:val="left"/>
              <w:rPr>
                <w:rFonts w:cs="Arial"/>
                <w:highlight w:val="yellow"/>
              </w:rPr>
            </w:pPr>
            <w:r w:rsidRPr="00C626D3">
              <w:rPr>
                <w:rFonts w:cs="Arial"/>
              </w:rPr>
              <w:t>Gapdh_fwd</w:t>
            </w:r>
            <w:r>
              <w:rPr>
                <w:rFonts w:cs="Arial"/>
              </w:rPr>
              <w:t xml:space="preserve"> </w:t>
            </w:r>
            <w:r w:rsidRPr="00A207FB">
              <w:rPr>
                <w:rFonts w:cs="Arial"/>
              </w:rPr>
              <w:fldChar w:fldCharType="begin" w:fldLock="1"/>
            </w:r>
            <w:r w:rsidRPr="00C626D3">
              <w:rPr>
                <w:rFonts w:cs="Arial"/>
              </w:rPr>
              <w:instrText>ADDIN CSL_CITATION {"citationItems":[{"id":"ITEM-1","itemData":{"DOI":"10.1073/pnas.1309342111","ISSN":"1091-6490 (Electronic)\r0027-8424 (Linking)","PMID":"24550486","abstract":"In the development of the mammalian intestine, Notch and Wnt/beta-catenin signals control stem cell maintenance and their differentiation into absorptive and secretory cells. Mechanisms that regulate differentiation of progenitors into the three secretory lineages, goblet, paneth, or enteroendocrine cells, are not fully understood. Using conditional mutagenesis in mice, we observed that Shp2-mediated MAPK signaling determines the choice between paneth and goblet cell fates and also affects stem cells, which express the leucine-rich repeat-containing receptor 5 (Lgr5). Ablation of the tyrosine phosphatase Shp2 in the intestinal epithelium reduced MAPK signaling and led to a reduction of goblet cells while promoting paneth cell development. Conversely, conditional mitogen-activated protein kinase kinase 1 (Mek1) activation rescued the Shp2 phenotype, promoted goblet cell and inhibited paneth cell generation. The Shp2 mutation also expanded Lgr5+ stem cell niches, which could be restricted by activated Mek1 signaling. Changes of Lgr5+ stem cell quantities were accompanied by alterations of paneth cells, indicating that Shp2/MAPK signaling might affect stem cell niches directly or via paneth cells. Remarkably, inhibition of MAPK signaling in intestinal organoids and cultured cells changed the relative abundance of Tcf4 isoforms and by this, promoted Wnt/beta-catenin activity. The data thus show that Shp2-mediated MAPK signaling controls the choice between goblet and paneth cell fates by regulating Wnt/beta-catenin activity.","author":[{"dropping-particle":"","family":"Heuberger","given":"J","non-dropping-particle":"","parse-names":false,"suffix":""},{"dropping-particle":"","family":"Kosel","given":"F","non-dropping-particle":"","parse-names":false,"suffix":""},{"dropping-particle":"","family":"Qi","given":"J","non-dropping-particle":"","parse-names":false,"suffix":""},{"dropping-particle":"","family":"Grossmann","given":"K S","non-dropping-particle":"","parse-names":false,"suffix":""},{"dropping-particle":"","family":"Rajewsky","given":"K","non-dropping-particle":"","parse-names":false,"suffix":""},{"dropping-particle":"","family":"Birchmeier","given":"W","non-dropping-particle":"","parse-names":false,"suffix":""}],"container-title":"Proc Natl Acad Sci U S A","id":"ITEM-1","issue":"9","issued":{"date-parts":[["2014"]]},"note":"Heuberger, Julian\rKosel, Frauke\rQi, Jingjing\rGrossmann, Katja S\rRajewsky, Klaus\rBirchmeier, Walter\reng\rResearch Support, Non-U.S. Gov't\r2014/02/20 06:00\rProc Natl Acad Sci U S A. 2014 Mar 4;111(9):3472-7. doi: 10.1073/pnas.1309342111. Epub 2014 Feb 18.","page":"3472-3477","title":"Shp2/MAPK signaling controls goblet/paneth cell fate decisions in the intestine","type":"article-journal","volume":"111"},"uris":["http://www.mendeley.com/documents/?uuid=1bd3f7a1-25ca-347d-8a95-40643d93549e"]}],"mendeley":{"formattedCitation":"(Heuberger &lt;i&gt;et al&lt;/i&gt;, 2014)","plainTextFormattedCitation":"(Heuberger et al, 2014)","previouslyFormattedCitation":"(Heuberger &lt;i&gt;et al&lt;/i&gt;, 2014)"},"properties":{"noteIndex":0},"schema":"https://github.com/citation-style-language/schema/raw/master/csl-citation.json"}</w:instrText>
            </w:r>
            <w:r w:rsidRPr="00A207FB">
              <w:rPr>
                <w:rFonts w:cs="Arial"/>
              </w:rPr>
              <w:fldChar w:fldCharType="separate"/>
            </w:r>
            <w:r w:rsidRPr="00C626D3">
              <w:rPr>
                <w:rFonts w:cs="Arial"/>
                <w:noProof/>
              </w:rPr>
              <w:t xml:space="preserve">(Heuberger </w:t>
            </w:r>
            <w:r w:rsidRPr="00C626D3">
              <w:rPr>
                <w:rFonts w:cs="Arial"/>
                <w:i/>
                <w:noProof/>
              </w:rPr>
              <w:t>et al</w:t>
            </w:r>
            <w:r w:rsidRPr="00C626D3">
              <w:rPr>
                <w:rFonts w:cs="Arial"/>
                <w:noProof/>
              </w:rPr>
              <w:t>, 2014)</w:t>
            </w:r>
            <w:r w:rsidRPr="00A207FB">
              <w:rPr>
                <w:rFonts w:cs="Arial"/>
              </w:rPr>
              <w:fldChar w:fldCharType="end"/>
            </w:r>
          </w:p>
        </w:tc>
        <w:tc>
          <w:tcPr>
            <w:tcW w:w="1024" w:type="dxa"/>
            <w:vAlign w:val="center"/>
          </w:tcPr>
          <w:p w14:paraId="11B733B7" w14:textId="77777777" w:rsidR="004C4E96" w:rsidRPr="00A207FB" w:rsidRDefault="004C4E96" w:rsidP="00FF28FE">
            <w:pPr>
              <w:contextualSpacing/>
              <w:jc w:val="left"/>
              <w:rPr>
                <w:rFonts w:eastAsia="Times New Roman" w:cs="Arial"/>
                <w:highlight w:val="yellow"/>
                <w:lang w:eastAsia="en-GB"/>
              </w:rPr>
            </w:pPr>
            <w:r w:rsidRPr="00A207FB">
              <w:rPr>
                <w:rFonts w:eastAsia="Times New Roman" w:cs="Arial"/>
                <w:lang w:eastAsia="en-GB"/>
              </w:rPr>
              <w:t>mouse</w:t>
            </w:r>
          </w:p>
        </w:tc>
        <w:tc>
          <w:tcPr>
            <w:tcW w:w="4347" w:type="dxa"/>
            <w:vAlign w:val="center"/>
          </w:tcPr>
          <w:p w14:paraId="3C47B5CB" w14:textId="77777777" w:rsidR="004C4E96" w:rsidRPr="00A207FB" w:rsidRDefault="004C4E96" w:rsidP="00FF28FE">
            <w:pPr>
              <w:contextualSpacing/>
              <w:jc w:val="left"/>
              <w:rPr>
                <w:rFonts w:eastAsia="Times New Roman" w:cs="Arial"/>
                <w:lang w:eastAsia="en-GB"/>
              </w:rPr>
            </w:pPr>
            <w:r w:rsidRPr="00A207FB">
              <w:rPr>
                <w:rFonts w:cs="Arial"/>
                <w:color w:val="000000"/>
              </w:rPr>
              <w:t>AAATGGTGAAGGTCGGTGTGAACG</w:t>
            </w:r>
          </w:p>
        </w:tc>
      </w:tr>
      <w:tr w:rsidR="004C4E96" w:rsidRPr="009F5AB4" w14:paraId="78EB314B" w14:textId="77777777" w:rsidTr="00FF28FE">
        <w:trPr>
          <w:gridAfter w:val="1"/>
        </w:trPr>
        <w:tc>
          <w:tcPr>
            <w:tcW w:w="3649" w:type="dxa"/>
            <w:vAlign w:val="center"/>
          </w:tcPr>
          <w:p w14:paraId="349A6A97" w14:textId="77777777" w:rsidR="004C4E96" w:rsidRPr="00A207FB" w:rsidRDefault="004C4E96" w:rsidP="00FF28FE">
            <w:pPr>
              <w:contextualSpacing/>
              <w:jc w:val="left"/>
              <w:rPr>
                <w:rFonts w:cs="Arial"/>
                <w:highlight w:val="yellow"/>
              </w:rPr>
            </w:pPr>
            <w:r w:rsidRPr="00A207FB">
              <w:rPr>
                <w:rFonts w:cs="Arial"/>
              </w:rPr>
              <w:t>Gapdh_rev</w:t>
            </w:r>
            <w:r>
              <w:rPr>
                <w:rFonts w:cs="Arial"/>
              </w:rPr>
              <w:t xml:space="preserve"> </w:t>
            </w:r>
            <w:r w:rsidRPr="00A207FB">
              <w:rPr>
                <w:rFonts w:cs="Arial"/>
              </w:rPr>
              <w:fldChar w:fldCharType="begin" w:fldLock="1"/>
            </w:r>
            <w:r>
              <w:rPr>
                <w:rFonts w:cs="Arial"/>
              </w:rPr>
              <w:instrText>ADDIN CSL_CITATION {"citationItems":[{"id":"ITEM-1","itemData":{"DOI":"10.1073/pnas.1309342111","ISSN":"1091-6490 (Electronic)\r0027-8424 (Linking)","PMID":"24550486","abstract":"In the development of the mammalian intestine, Notch and Wnt/beta-catenin signals control stem cell maintenance and their differentiation into absorptive and secretory cells. Mechanisms that regulate differentiation of progenitors into the three secretory lineages, goblet, paneth, or enteroendocrine cells, are not fully understood. Using conditional mutagenesis in mice, we observed that Shp2-mediated MAPK signaling determines the choice between paneth and goblet cell fates and also affects stem cells, which express the leucine-rich repeat-containing receptor 5 (Lgr5). Ablation of the tyrosine phosphatase Shp2 in the intestinal epithelium reduced MAPK signaling and led to a reduction of goblet cells while promoting paneth cell development. Conversely, conditional mitogen-activated protein kinase kinase 1 (Mek1) activation rescued the Shp2 phenotype, promoted goblet cell and inhibited paneth cell generation. The Shp2 mutation also expanded Lgr5+ stem cell niches, which could be restricted by activated Mek1 signaling. Changes of Lgr5+ stem cell quantities were accompanied by alterations of paneth cells, indicating that Shp2/MAPK signaling might affect stem cell niches directly or via paneth cells. Remarkably, inhibition of MAPK signaling in intestinal organoids and cultured cells changed the relative abundance of Tcf4 isoforms and by this, promoted Wnt/beta-catenin activity. The data thus show that Shp2-mediated MAPK signaling controls the choice between goblet and paneth cell fates by regulating Wnt/beta-catenin activity.","author":[{"dropping-particle":"","family":"Heuberger","given":"J","non-dropping-particle":"","parse-names":false,"suffix":""},{"dropping-particle":"","family":"Kosel","given":"F","non-dropping-particle":"","parse-names":false,"suffix":""},{"dropping-particle":"","family":"Qi","given":"J","non-dropping-particle":"","parse-names":false,"suffix":""},{"dropping-particle":"","family":"Grossmann","given":"K S","non-dropping-particle":"","parse-names":false,"suffix":""},{"dropping-particle":"","family":"Rajewsky","given":"K","non-dropping-particle":"","parse-names":false,"suffix":""},{"dropping-particle":"","family":"Birchmeier","given":"W","non-dropping-particle":"","parse-names":false,"suffix":""}],"container-title":"Proc Natl Acad Sci U S A","id":"ITEM-1","issue":"9","issued":{"date-parts":[["2014"]]},"note":"Heuberger, Julian\rKosel, Frauke\rQi, Jingjing\rGrossmann, Katja S\rRajewsky, Klaus\rBirchmeier, Walter\reng\rResearch Support, Non-U.S. Gov't\r2014/02/20 06:00\rProc Natl Acad Sci U S A. 2014 Mar 4;111(9):3472-7. doi: 10.1073/pnas.1309342111. Epub 2014 Feb 18.","page":"3472-3477","title":"Shp2/MAPK signaling controls goblet/paneth cell fate decisions in the intestine","type":"article-journal","volume":"111"},"uris":["http://www.mendeley.com/documents/?uuid=1bd3f7a1-25ca-347d-8a95-40643d93549e"]}],"mendeley":{"formattedCitation":"(Heuberger &lt;i&gt;et al&lt;/i&gt;, 2014)","plainTextFormattedCitation":"(Heuberger et al, 2014)","previouslyFormattedCitation":"(Heuberger &lt;i&gt;et al&lt;/i&gt;, 2014)"},"properties":{"noteIndex":0},"schema":"https://github.com/citation-style-language/schema/raw/master/csl-citation.json"}</w:instrText>
            </w:r>
            <w:r w:rsidRPr="00A207FB">
              <w:rPr>
                <w:rFonts w:cs="Arial"/>
              </w:rPr>
              <w:fldChar w:fldCharType="separate"/>
            </w:r>
            <w:r w:rsidRPr="00A8305D">
              <w:rPr>
                <w:rFonts w:cs="Arial"/>
                <w:noProof/>
              </w:rPr>
              <w:t xml:space="preserve">(Heuberger </w:t>
            </w:r>
            <w:r w:rsidRPr="00A8305D">
              <w:rPr>
                <w:rFonts w:cs="Arial"/>
                <w:i/>
                <w:noProof/>
              </w:rPr>
              <w:t>et al</w:t>
            </w:r>
            <w:r w:rsidRPr="00A8305D">
              <w:rPr>
                <w:rFonts w:cs="Arial"/>
                <w:noProof/>
              </w:rPr>
              <w:t>, 2014)</w:t>
            </w:r>
            <w:r w:rsidRPr="00A207FB">
              <w:rPr>
                <w:rFonts w:cs="Arial"/>
              </w:rPr>
              <w:fldChar w:fldCharType="end"/>
            </w:r>
          </w:p>
        </w:tc>
        <w:tc>
          <w:tcPr>
            <w:tcW w:w="1024" w:type="dxa"/>
            <w:vAlign w:val="center"/>
          </w:tcPr>
          <w:p w14:paraId="22F7EE89" w14:textId="77777777" w:rsidR="004C4E96" w:rsidRPr="00A207FB" w:rsidRDefault="004C4E96" w:rsidP="00FF28FE">
            <w:pPr>
              <w:contextualSpacing/>
              <w:jc w:val="left"/>
              <w:rPr>
                <w:rFonts w:eastAsia="Times New Roman" w:cs="Arial"/>
                <w:highlight w:val="yellow"/>
                <w:lang w:eastAsia="en-GB"/>
              </w:rPr>
            </w:pPr>
            <w:r w:rsidRPr="00A207FB">
              <w:rPr>
                <w:rFonts w:eastAsia="Times New Roman" w:cs="Arial"/>
                <w:lang w:eastAsia="en-GB"/>
              </w:rPr>
              <w:t>mouse</w:t>
            </w:r>
          </w:p>
        </w:tc>
        <w:tc>
          <w:tcPr>
            <w:tcW w:w="4347" w:type="dxa"/>
            <w:vAlign w:val="center"/>
          </w:tcPr>
          <w:p w14:paraId="1C86C2C8" w14:textId="77777777" w:rsidR="004C4E96" w:rsidRPr="00A207FB" w:rsidRDefault="004C4E96" w:rsidP="00FF28FE">
            <w:pPr>
              <w:contextualSpacing/>
              <w:jc w:val="left"/>
              <w:rPr>
                <w:rFonts w:eastAsia="Times New Roman" w:cs="Arial"/>
                <w:lang w:eastAsia="en-GB"/>
              </w:rPr>
            </w:pPr>
            <w:r w:rsidRPr="00A207FB">
              <w:rPr>
                <w:rFonts w:cs="Arial"/>
              </w:rPr>
              <w:t>TGATGACAAGCTTCCCATTCTCGG</w:t>
            </w:r>
          </w:p>
        </w:tc>
      </w:tr>
      <w:tr w:rsidR="004C4E96" w:rsidRPr="009F5AB4" w14:paraId="43CCC233"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71CF04C0" w14:textId="77777777" w:rsidR="004C4E96" w:rsidRPr="00A207FB" w:rsidRDefault="004C4E96" w:rsidP="00FF28FE">
            <w:pPr>
              <w:contextualSpacing/>
              <w:jc w:val="left"/>
              <w:rPr>
                <w:rFonts w:cs="Arial"/>
                <w:highlight w:val="yellow"/>
              </w:rPr>
            </w:pPr>
            <w:r w:rsidRPr="00A207FB">
              <w:rPr>
                <w:rFonts w:cs="Arial"/>
              </w:rPr>
              <w:t>Gata4_fwd</w:t>
            </w:r>
          </w:p>
        </w:tc>
        <w:tc>
          <w:tcPr>
            <w:tcW w:w="1024" w:type="dxa"/>
            <w:vAlign w:val="center"/>
          </w:tcPr>
          <w:p w14:paraId="2DF6395B" w14:textId="77777777" w:rsidR="004C4E96" w:rsidRPr="00A207FB" w:rsidRDefault="004C4E96" w:rsidP="00FF28FE">
            <w:pPr>
              <w:contextualSpacing/>
              <w:jc w:val="left"/>
              <w:rPr>
                <w:rFonts w:eastAsia="Times New Roman" w:cs="Arial"/>
                <w:highlight w:val="yellow"/>
                <w:lang w:eastAsia="en-GB"/>
              </w:rPr>
            </w:pPr>
            <w:r w:rsidRPr="00A207FB">
              <w:rPr>
                <w:rFonts w:eastAsia="Times New Roman" w:cs="Arial"/>
                <w:lang w:eastAsia="en-GB"/>
              </w:rPr>
              <w:t>mouse</w:t>
            </w:r>
          </w:p>
        </w:tc>
        <w:tc>
          <w:tcPr>
            <w:tcW w:w="4347" w:type="dxa"/>
            <w:vAlign w:val="center"/>
          </w:tcPr>
          <w:p w14:paraId="5A03186C" w14:textId="77777777" w:rsidR="004C4E96" w:rsidRPr="00A207FB" w:rsidRDefault="004C4E96" w:rsidP="00FF28FE">
            <w:pPr>
              <w:contextualSpacing/>
              <w:jc w:val="left"/>
              <w:rPr>
                <w:rFonts w:eastAsia="Times New Roman" w:cs="Arial"/>
                <w:lang w:eastAsia="en-GB"/>
              </w:rPr>
            </w:pPr>
            <w:r w:rsidRPr="00A207FB">
              <w:rPr>
                <w:rFonts w:cs="Arial"/>
              </w:rPr>
              <w:t>AAACGGAAGCCCAAGAACCT</w:t>
            </w:r>
          </w:p>
        </w:tc>
      </w:tr>
      <w:tr w:rsidR="004C4E96" w:rsidRPr="009F5AB4" w14:paraId="337932BF" w14:textId="77777777" w:rsidTr="00FF28FE">
        <w:trPr>
          <w:gridAfter w:val="1"/>
        </w:trPr>
        <w:tc>
          <w:tcPr>
            <w:tcW w:w="3649" w:type="dxa"/>
            <w:vAlign w:val="center"/>
          </w:tcPr>
          <w:p w14:paraId="2142E5A3" w14:textId="77777777" w:rsidR="004C4E96" w:rsidRPr="00A207FB" w:rsidRDefault="004C4E96" w:rsidP="00FF28FE">
            <w:pPr>
              <w:contextualSpacing/>
              <w:jc w:val="left"/>
              <w:rPr>
                <w:rFonts w:cs="Arial"/>
                <w:highlight w:val="yellow"/>
              </w:rPr>
            </w:pPr>
            <w:r w:rsidRPr="00A207FB">
              <w:rPr>
                <w:rFonts w:cs="Arial"/>
              </w:rPr>
              <w:t>Gata4_rev</w:t>
            </w:r>
          </w:p>
        </w:tc>
        <w:tc>
          <w:tcPr>
            <w:tcW w:w="1024" w:type="dxa"/>
            <w:vAlign w:val="center"/>
          </w:tcPr>
          <w:p w14:paraId="1E706027" w14:textId="77777777" w:rsidR="004C4E96" w:rsidRPr="00A207FB" w:rsidRDefault="004C4E96" w:rsidP="00FF28FE">
            <w:pPr>
              <w:contextualSpacing/>
              <w:jc w:val="left"/>
              <w:rPr>
                <w:rFonts w:eastAsia="Times New Roman" w:cs="Arial"/>
                <w:highlight w:val="yellow"/>
                <w:lang w:eastAsia="en-GB"/>
              </w:rPr>
            </w:pPr>
            <w:r w:rsidRPr="00A207FB">
              <w:rPr>
                <w:rFonts w:eastAsia="Times New Roman" w:cs="Arial"/>
                <w:lang w:eastAsia="en-GB"/>
              </w:rPr>
              <w:t>mouse</w:t>
            </w:r>
          </w:p>
        </w:tc>
        <w:tc>
          <w:tcPr>
            <w:tcW w:w="4347" w:type="dxa"/>
            <w:vAlign w:val="center"/>
          </w:tcPr>
          <w:p w14:paraId="58258C03" w14:textId="77777777" w:rsidR="004C4E96" w:rsidRPr="00A207FB" w:rsidRDefault="004C4E96" w:rsidP="00FF28FE">
            <w:pPr>
              <w:contextualSpacing/>
              <w:jc w:val="left"/>
              <w:rPr>
                <w:rFonts w:eastAsia="Times New Roman" w:cs="Arial"/>
                <w:lang w:eastAsia="en-GB"/>
              </w:rPr>
            </w:pPr>
            <w:r w:rsidRPr="00A207FB">
              <w:rPr>
                <w:rFonts w:cs="Arial"/>
              </w:rPr>
              <w:t>ACACAGTACTGAATGTCTGGGA</w:t>
            </w:r>
          </w:p>
        </w:tc>
      </w:tr>
      <w:tr w:rsidR="004C4E96" w:rsidRPr="00A207FB" w14:paraId="2EC4B058"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4B9C9331" w14:textId="77777777" w:rsidR="004C4E96" w:rsidRPr="00A207FB" w:rsidRDefault="004C4E96" w:rsidP="00FF28FE">
            <w:pPr>
              <w:contextualSpacing/>
              <w:jc w:val="left"/>
              <w:rPr>
                <w:rFonts w:cs="Arial"/>
              </w:rPr>
            </w:pPr>
            <w:r w:rsidRPr="00A207FB">
              <w:rPr>
                <w:rFonts w:cs="Arial"/>
              </w:rPr>
              <w:t>Gob5_fwd</w:t>
            </w:r>
            <w:r>
              <w:rPr>
                <w:rFonts w:cs="Arial"/>
              </w:rPr>
              <w:t xml:space="preserve"> </w:t>
            </w:r>
            <w:r w:rsidRPr="00A207FB">
              <w:rPr>
                <w:rFonts w:cs="Arial"/>
              </w:rPr>
              <w:fldChar w:fldCharType="begin" w:fldLock="1"/>
            </w:r>
            <w:r>
              <w:rPr>
                <w:rFonts w:cs="Arial"/>
              </w:rPr>
              <w:instrText>ADDIN CSL_CITATION {"citationItems":[{"id":"ITEM-1","itemData":{"DOI":"10.1073/pnas.1309342111","ISSN":"1091-6490 (Electronic)\r0027-8424 (Linking)","PMID":"24550486","abstract":"In the development of the mammalian intestine, Notch and Wnt/beta-catenin signals control stem cell maintenance and their differentiation into absorptive and secretory cells. Mechanisms that regulate differentiation of progenitors into the three secretory lineages, goblet, paneth, or enteroendocrine cells, are not fully understood. Using conditional mutagenesis in mice, we observed that Shp2-mediated MAPK signaling determines the choice between paneth and goblet cell fates and also affects stem cells, which express the leucine-rich repeat-containing receptor 5 (Lgr5). Ablation of the tyrosine phosphatase Shp2 in the intestinal epithelium reduced MAPK signaling and led to a reduction of goblet cells while promoting paneth cell development. Conversely, conditional mitogen-activated protein kinase kinase 1 (Mek1) activation rescued the Shp2 phenotype, promoted goblet cell and inhibited paneth cell generation. The Shp2 mutation also expanded Lgr5+ stem cell niches, which could be restricted by activated Mek1 signaling. Changes of Lgr5+ stem cell quantities were accompanied by alterations of paneth cells, indicating that Shp2/MAPK signaling might affect stem cell niches directly or via paneth cells. Remarkably, inhibition of MAPK signaling in intestinal organoids and cultured cells changed the relative abundance of Tcf4 isoforms and by this, promoted Wnt/beta-catenin activity. The data thus show that Shp2-mediated MAPK signaling controls the choice between goblet and paneth cell fates by regulating Wnt/beta-catenin activity.","author":[{"dropping-particle":"","family":"Heuberger","given":"J","non-dropping-particle":"","parse-names":false,"suffix":""},{"dropping-particle":"","family":"Kosel","given":"F","non-dropping-particle":"","parse-names":false,"suffix":""},{"dropping-particle":"","family":"Qi","given":"J","non-dropping-particle":"","parse-names":false,"suffix":""},{"dropping-particle":"","family":"Grossmann","given":"K S","non-dropping-particle":"","parse-names":false,"suffix":""},{"dropping-particle":"","family":"Rajewsky","given":"K","non-dropping-particle":"","parse-names":false,"suffix":""},{"dropping-particle":"","family":"Birchmeier","given":"W","non-dropping-particle":"","parse-names":false,"suffix":""}],"container-title":"Proc Natl Acad Sci U S A","id":"ITEM-1","issue":"9","issued":{"date-parts":[["2014"]]},"note":"Heuberger, Julian\rKosel, Frauke\rQi, Jingjing\rGrossmann, Katja S\rRajewsky, Klaus\rBirchmeier, Walter\reng\rResearch Support, Non-U.S. Gov't\r2014/02/20 06:00\rProc Natl Acad Sci U S A. 2014 Mar 4;111(9):3472-7. doi: 10.1073/pnas.1309342111. Epub 2014 Feb 18.","page":"3472-3477","title":"Shp2/MAPK signaling controls goblet/paneth cell fate decisions in the intestine","type":"article-journal","volume":"111"},"uris":["http://www.mendeley.com/documents/?uuid=1bd3f7a1-25ca-347d-8a95-40643d93549e"]}],"mendeley":{"formattedCitation":"(Heuberger &lt;i&gt;et al&lt;/i&gt;, 2014)","plainTextFormattedCitation":"(Heuberger et al, 2014)","previouslyFormattedCitation":"(Heuberger &lt;i&gt;et al&lt;/i&gt;, 2014)"},"properties":{"noteIndex":0},"schema":"https://github.com/citation-style-language/schema/raw/master/csl-citation.json"}</w:instrText>
            </w:r>
            <w:r w:rsidRPr="00A207FB">
              <w:rPr>
                <w:rFonts w:cs="Arial"/>
              </w:rPr>
              <w:fldChar w:fldCharType="separate"/>
            </w:r>
            <w:r w:rsidRPr="00A8305D">
              <w:rPr>
                <w:rFonts w:cs="Arial"/>
                <w:noProof/>
              </w:rPr>
              <w:t xml:space="preserve">(Heuberger </w:t>
            </w:r>
            <w:r w:rsidRPr="00A8305D">
              <w:rPr>
                <w:rFonts w:cs="Arial"/>
                <w:i/>
                <w:noProof/>
              </w:rPr>
              <w:t>et al</w:t>
            </w:r>
            <w:r w:rsidRPr="00A8305D">
              <w:rPr>
                <w:rFonts w:cs="Arial"/>
                <w:noProof/>
              </w:rPr>
              <w:t>, 2014)</w:t>
            </w:r>
            <w:r w:rsidRPr="00A207FB">
              <w:rPr>
                <w:rFonts w:cs="Arial"/>
              </w:rPr>
              <w:fldChar w:fldCharType="end"/>
            </w:r>
          </w:p>
        </w:tc>
        <w:tc>
          <w:tcPr>
            <w:tcW w:w="1024" w:type="dxa"/>
            <w:vAlign w:val="center"/>
          </w:tcPr>
          <w:p w14:paraId="50C7956B" w14:textId="77777777" w:rsidR="004C4E96" w:rsidRPr="00A207FB" w:rsidRDefault="004C4E96" w:rsidP="00FF28FE">
            <w:pPr>
              <w:contextualSpacing/>
              <w:jc w:val="left"/>
              <w:rPr>
                <w:rFonts w:eastAsia="Times New Roman" w:cs="Arial"/>
                <w:lang w:eastAsia="en-GB"/>
              </w:rPr>
            </w:pPr>
            <w:r w:rsidRPr="00A207FB">
              <w:rPr>
                <w:rFonts w:eastAsia="Times New Roman" w:cs="Arial"/>
                <w:lang w:eastAsia="en-GB"/>
              </w:rPr>
              <w:t>mouse</w:t>
            </w:r>
          </w:p>
        </w:tc>
        <w:tc>
          <w:tcPr>
            <w:tcW w:w="4347" w:type="dxa"/>
            <w:vAlign w:val="center"/>
          </w:tcPr>
          <w:p w14:paraId="13BC02D0" w14:textId="77777777" w:rsidR="004C4E96" w:rsidRPr="00A207FB" w:rsidRDefault="004C4E96" w:rsidP="00FF28FE">
            <w:pPr>
              <w:contextualSpacing/>
              <w:jc w:val="left"/>
              <w:rPr>
                <w:rFonts w:eastAsia="Times New Roman" w:cs="Arial"/>
                <w:lang w:eastAsia="en-GB"/>
              </w:rPr>
            </w:pPr>
            <w:r w:rsidRPr="00A207FB">
              <w:rPr>
                <w:rFonts w:cs="Arial"/>
                <w:color w:val="000000"/>
              </w:rPr>
              <w:t>TGAAATTGTGCTGCTGACCGATGG</w:t>
            </w:r>
          </w:p>
        </w:tc>
      </w:tr>
      <w:tr w:rsidR="004C4E96" w:rsidRPr="009F5AB4" w14:paraId="0C0DE99F" w14:textId="77777777" w:rsidTr="00FF28FE">
        <w:trPr>
          <w:gridAfter w:val="1"/>
        </w:trPr>
        <w:tc>
          <w:tcPr>
            <w:tcW w:w="3649" w:type="dxa"/>
            <w:vAlign w:val="center"/>
          </w:tcPr>
          <w:p w14:paraId="4AADDE15" w14:textId="77777777" w:rsidR="004C4E96" w:rsidRPr="00A207FB" w:rsidRDefault="004C4E96" w:rsidP="00FF28FE">
            <w:pPr>
              <w:contextualSpacing/>
              <w:jc w:val="left"/>
              <w:rPr>
                <w:rFonts w:cs="Arial"/>
              </w:rPr>
            </w:pPr>
            <w:r w:rsidRPr="00A207FB">
              <w:rPr>
                <w:rFonts w:cs="Arial"/>
              </w:rPr>
              <w:t>Gob5_rev</w:t>
            </w:r>
            <w:r>
              <w:rPr>
                <w:rFonts w:cs="Arial"/>
              </w:rPr>
              <w:t xml:space="preserve"> </w:t>
            </w:r>
            <w:r w:rsidRPr="00A207FB">
              <w:rPr>
                <w:rFonts w:cs="Arial"/>
              </w:rPr>
              <w:fldChar w:fldCharType="begin" w:fldLock="1"/>
            </w:r>
            <w:r>
              <w:rPr>
                <w:rFonts w:cs="Arial"/>
              </w:rPr>
              <w:instrText>ADDIN CSL_CITATION {"citationItems":[{"id":"ITEM-1","itemData":{"DOI":"10.1073/pnas.1309342111","ISSN":"1091-6490 (Electronic)\r0027-8424 (Linking)","PMID":"24550486","abstract":"In the development of the mammalian intestine, Notch and Wnt/beta-catenin signals control stem cell maintenance and their differentiation into absorptive and secretory cells. Mechanisms that regulate differentiation of progenitors into the three secretory lineages, goblet, paneth, or enteroendocrine cells, are not fully understood. Using conditional mutagenesis in mice, we observed that Shp2-mediated MAPK signaling determines the choice between paneth and goblet cell fates and also affects stem cells, which express the leucine-rich repeat-containing receptor 5 (Lgr5). Ablation of the tyrosine phosphatase Shp2 in the intestinal epithelium reduced MAPK signaling and led to a reduction of goblet cells while promoting paneth cell development. Conversely, conditional mitogen-activated protein kinase kinase 1 (Mek1) activation rescued the Shp2 phenotype, promoted goblet cell and inhibited paneth cell generation. The Shp2 mutation also expanded Lgr5+ stem cell niches, which could be restricted by activated Mek1 signaling. Changes of Lgr5+ stem cell quantities were accompanied by alterations of paneth cells, indicating that Shp2/MAPK signaling might affect stem cell niches directly or via paneth cells. Remarkably, inhibition of MAPK signaling in intestinal organoids and cultured cells changed the relative abundance of Tcf4 isoforms and by this, promoted Wnt/beta-catenin activity. The data thus show that Shp2-mediated MAPK signaling controls the choice between goblet and paneth cell fates by regulating Wnt/beta-catenin activity.","author":[{"dropping-particle":"","family":"Heuberger","given":"J","non-dropping-particle":"","parse-names":false,"suffix":""},{"dropping-particle":"","family":"Kosel","given":"F","non-dropping-particle":"","parse-names":false,"suffix":""},{"dropping-particle":"","family":"Qi","given":"J","non-dropping-particle":"","parse-names":false,"suffix":""},{"dropping-particle":"","family":"Grossmann","given":"K S","non-dropping-particle":"","parse-names":false,"suffix":""},{"dropping-particle":"","family":"Rajewsky","given":"K","non-dropping-particle":"","parse-names":false,"suffix":""},{"dropping-particle":"","family":"Birchmeier","given":"W","non-dropping-particle":"","parse-names":false,"suffix":""}],"container-title":"Proc Natl Acad Sci U S A","id":"ITEM-1","issue":"9","issued":{"date-parts":[["2014"]]},"note":"Heuberger, Julian\rKosel, Frauke\rQi, Jingjing\rGrossmann, Katja S\rRajewsky, Klaus\rBirchmeier, Walter\reng\rResearch Support, Non-U.S. Gov't\r2014/02/20 06:00\rProc Natl Acad Sci U S A. 2014 Mar 4;111(9):3472-7. doi: 10.1073/pnas.1309342111. Epub 2014 Feb 18.","page":"3472-3477","title":"Shp2/MAPK signaling controls goblet/paneth cell fate decisions in the intestine","type":"article-journal","volume":"111"},"uris":["http://www.mendeley.com/documents/?uuid=1bd3f7a1-25ca-347d-8a95-40643d93549e"]}],"mendeley":{"formattedCitation":"(Heuberger &lt;i&gt;et al&lt;/i&gt;, 2014)","plainTextFormattedCitation":"(Heuberger et al, 2014)","previouslyFormattedCitation":"(Heuberger &lt;i&gt;et al&lt;/i&gt;, 2014)"},"properties":{"noteIndex":0},"schema":"https://github.com/citation-style-language/schema/raw/master/csl-citation.json"}</w:instrText>
            </w:r>
            <w:r w:rsidRPr="00A207FB">
              <w:rPr>
                <w:rFonts w:cs="Arial"/>
              </w:rPr>
              <w:fldChar w:fldCharType="separate"/>
            </w:r>
            <w:r w:rsidRPr="00A8305D">
              <w:rPr>
                <w:rFonts w:cs="Arial"/>
                <w:noProof/>
              </w:rPr>
              <w:t xml:space="preserve">(Heuberger </w:t>
            </w:r>
            <w:r w:rsidRPr="00A8305D">
              <w:rPr>
                <w:rFonts w:cs="Arial"/>
                <w:i/>
                <w:noProof/>
              </w:rPr>
              <w:t>et al</w:t>
            </w:r>
            <w:r w:rsidRPr="00A8305D">
              <w:rPr>
                <w:rFonts w:cs="Arial"/>
                <w:noProof/>
              </w:rPr>
              <w:t>, 2014)</w:t>
            </w:r>
            <w:r w:rsidRPr="00A207FB">
              <w:rPr>
                <w:rFonts w:cs="Arial"/>
              </w:rPr>
              <w:fldChar w:fldCharType="end"/>
            </w:r>
          </w:p>
        </w:tc>
        <w:tc>
          <w:tcPr>
            <w:tcW w:w="1024" w:type="dxa"/>
            <w:vAlign w:val="center"/>
          </w:tcPr>
          <w:p w14:paraId="0B2DBBBA" w14:textId="77777777" w:rsidR="004C4E96" w:rsidRPr="00A207FB" w:rsidRDefault="004C4E96" w:rsidP="00FF28FE">
            <w:pPr>
              <w:contextualSpacing/>
              <w:jc w:val="left"/>
              <w:rPr>
                <w:rFonts w:eastAsia="Times New Roman" w:cs="Arial"/>
                <w:lang w:eastAsia="en-GB"/>
              </w:rPr>
            </w:pPr>
            <w:r w:rsidRPr="00A207FB">
              <w:rPr>
                <w:rFonts w:eastAsia="Times New Roman" w:cs="Arial"/>
                <w:lang w:eastAsia="en-GB"/>
              </w:rPr>
              <w:t>mouse</w:t>
            </w:r>
          </w:p>
        </w:tc>
        <w:tc>
          <w:tcPr>
            <w:tcW w:w="4347" w:type="dxa"/>
            <w:vAlign w:val="center"/>
          </w:tcPr>
          <w:p w14:paraId="748777DA" w14:textId="77777777" w:rsidR="004C4E96" w:rsidRPr="00A207FB" w:rsidRDefault="004C4E96" w:rsidP="00FF28FE">
            <w:pPr>
              <w:contextualSpacing/>
              <w:jc w:val="left"/>
              <w:rPr>
                <w:rFonts w:cs="Arial"/>
                <w:color w:val="000000"/>
              </w:rPr>
            </w:pPr>
            <w:r w:rsidRPr="00A207FB">
              <w:rPr>
                <w:rFonts w:cs="Arial"/>
                <w:color w:val="000000"/>
              </w:rPr>
              <w:t>TGCTGCGAAAGCATCAACAAGACC</w:t>
            </w:r>
          </w:p>
        </w:tc>
      </w:tr>
      <w:tr w:rsidR="004C4E96" w:rsidRPr="009F5AB4" w14:paraId="42BD3F52"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0CC84352" w14:textId="77777777" w:rsidR="004C4E96" w:rsidRPr="004372AF" w:rsidRDefault="004C4E96" w:rsidP="00FF28FE">
            <w:pPr>
              <w:contextualSpacing/>
              <w:jc w:val="left"/>
              <w:rPr>
                <w:rFonts w:cs="Arial"/>
              </w:rPr>
            </w:pPr>
            <w:r w:rsidRPr="004372AF">
              <w:rPr>
                <w:rFonts w:cs="Arial"/>
              </w:rPr>
              <w:t>Hes1_fwd</w:t>
            </w:r>
          </w:p>
        </w:tc>
        <w:tc>
          <w:tcPr>
            <w:tcW w:w="1024" w:type="dxa"/>
            <w:vAlign w:val="center"/>
          </w:tcPr>
          <w:p w14:paraId="79CB49FF"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06E2B819" w14:textId="77777777" w:rsidR="004C4E96" w:rsidRPr="004372AF" w:rsidRDefault="004C4E96" w:rsidP="00FF28FE">
            <w:pPr>
              <w:contextualSpacing/>
              <w:jc w:val="left"/>
              <w:rPr>
                <w:rFonts w:cs="Arial"/>
              </w:rPr>
            </w:pPr>
            <w:r w:rsidRPr="004372AF">
              <w:rPr>
                <w:rFonts w:cs="Arial"/>
              </w:rPr>
              <w:t>TGGAAATGACTGTGAAGCACCTCC</w:t>
            </w:r>
          </w:p>
        </w:tc>
      </w:tr>
      <w:tr w:rsidR="004C4E96" w:rsidRPr="009F5AB4" w14:paraId="650264F7" w14:textId="77777777" w:rsidTr="00FF28FE">
        <w:trPr>
          <w:gridAfter w:val="1"/>
        </w:trPr>
        <w:tc>
          <w:tcPr>
            <w:tcW w:w="3649" w:type="dxa"/>
            <w:vAlign w:val="center"/>
          </w:tcPr>
          <w:p w14:paraId="7132F504" w14:textId="77777777" w:rsidR="004C4E96" w:rsidRPr="004372AF" w:rsidRDefault="004C4E96" w:rsidP="00FF28FE">
            <w:pPr>
              <w:contextualSpacing/>
              <w:jc w:val="left"/>
              <w:rPr>
                <w:rFonts w:cs="Arial"/>
              </w:rPr>
            </w:pPr>
            <w:r w:rsidRPr="004372AF">
              <w:rPr>
                <w:rFonts w:cs="Arial"/>
              </w:rPr>
              <w:t>Hes1_rev</w:t>
            </w:r>
          </w:p>
        </w:tc>
        <w:tc>
          <w:tcPr>
            <w:tcW w:w="1024" w:type="dxa"/>
            <w:vAlign w:val="center"/>
          </w:tcPr>
          <w:p w14:paraId="4AEE9E8D"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3F456A0E" w14:textId="77777777" w:rsidR="004C4E96" w:rsidRPr="004372AF" w:rsidRDefault="004C4E96" w:rsidP="00FF28FE">
            <w:pPr>
              <w:contextualSpacing/>
              <w:jc w:val="left"/>
              <w:rPr>
                <w:rFonts w:cs="Arial"/>
              </w:rPr>
            </w:pPr>
            <w:r w:rsidRPr="004372AF">
              <w:rPr>
                <w:rFonts w:cs="Arial"/>
              </w:rPr>
              <w:t>TTGATCTGGGTCATGCAGTTGGC</w:t>
            </w:r>
          </w:p>
        </w:tc>
      </w:tr>
      <w:tr w:rsidR="004C4E96" w:rsidRPr="009F5AB4" w14:paraId="5CADED97"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27E83551" w14:textId="77777777" w:rsidR="004C4E96" w:rsidRPr="00A207FB" w:rsidRDefault="004C4E96" w:rsidP="00FF28FE">
            <w:pPr>
              <w:contextualSpacing/>
              <w:jc w:val="left"/>
              <w:rPr>
                <w:rFonts w:cs="Arial"/>
              </w:rPr>
            </w:pPr>
            <w:r w:rsidRPr="00A207FB">
              <w:rPr>
                <w:rFonts w:cs="Arial"/>
              </w:rPr>
              <w:t>Itf_fwd</w:t>
            </w:r>
          </w:p>
        </w:tc>
        <w:tc>
          <w:tcPr>
            <w:tcW w:w="1024" w:type="dxa"/>
            <w:vAlign w:val="center"/>
          </w:tcPr>
          <w:p w14:paraId="1252393F" w14:textId="77777777" w:rsidR="004C4E96" w:rsidRPr="00A207FB" w:rsidRDefault="004C4E96" w:rsidP="00FF28FE">
            <w:pPr>
              <w:contextualSpacing/>
              <w:jc w:val="left"/>
              <w:rPr>
                <w:rFonts w:eastAsia="Times New Roman" w:cs="Arial"/>
                <w:lang w:eastAsia="en-GB"/>
              </w:rPr>
            </w:pPr>
            <w:r w:rsidRPr="00A207FB">
              <w:rPr>
                <w:rFonts w:eastAsia="Times New Roman" w:cs="Arial"/>
                <w:lang w:eastAsia="en-GB"/>
              </w:rPr>
              <w:t>mouse</w:t>
            </w:r>
          </w:p>
        </w:tc>
        <w:tc>
          <w:tcPr>
            <w:tcW w:w="4347" w:type="dxa"/>
            <w:vAlign w:val="center"/>
          </w:tcPr>
          <w:p w14:paraId="776AF109" w14:textId="77777777" w:rsidR="004C4E96" w:rsidRPr="00A207FB" w:rsidRDefault="004C4E96" w:rsidP="00FF28FE">
            <w:pPr>
              <w:contextualSpacing/>
              <w:jc w:val="left"/>
              <w:rPr>
                <w:rFonts w:cs="Arial"/>
              </w:rPr>
            </w:pPr>
            <w:r w:rsidRPr="00A207FB">
              <w:rPr>
                <w:rFonts w:cs="Arial"/>
                <w:color w:val="000000"/>
              </w:rPr>
              <w:t>TGGGATAGCTGCAGATTACGTTGG</w:t>
            </w:r>
          </w:p>
        </w:tc>
      </w:tr>
      <w:tr w:rsidR="004C4E96" w:rsidRPr="009F5AB4" w14:paraId="21F0B2F2" w14:textId="77777777" w:rsidTr="00FF28FE">
        <w:trPr>
          <w:gridAfter w:val="1"/>
        </w:trPr>
        <w:tc>
          <w:tcPr>
            <w:tcW w:w="3649" w:type="dxa"/>
            <w:vAlign w:val="center"/>
          </w:tcPr>
          <w:p w14:paraId="1780957F" w14:textId="77777777" w:rsidR="004C4E96" w:rsidRPr="00A207FB" w:rsidRDefault="004C4E96" w:rsidP="00FF28FE">
            <w:pPr>
              <w:contextualSpacing/>
              <w:jc w:val="left"/>
              <w:rPr>
                <w:rFonts w:cs="Arial"/>
              </w:rPr>
            </w:pPr>
            <w:r w:rsidRPr="00A207FB">
              <w:rPr>
                <w:rFonts w:cs="Arial"/>
              </w:rPr>
              <w:t>Itf_rev</w:t>
            </w:r>
          </w:p>
        </w:tc>
        <w:tc>
          <w:tcPr>
            <w:tcW w:w="1024" w:type="dxa"/>
            <w:vAlign w:val="center"/>
          </w:tcPr>
          <w:p w14:paraId="3AF3E23C" w14:textId="77777777" w:rsidR="004C4E96" w:rsidRPr="00A207FB" w:rsidRDefault="004C4E96" w:rsidP="00FF28FE">
            <w:pPr>
              <w:contextualSpacing/>
              <w:jc w:val="left"/>
              <w:rPr>
                <w:rFonts w:eastAsia="Times New Roman" w:cs="Arial"/>
                <w:lang w:eastAsia="en-GB"/>
              </w:rPr>
            </w:pPr>
            <w:r w:rsidRPr="00A207FB">
              <w:rPr>
                <w:rFonts w:eastAsia="Times New Roman" w:cs="Arial"/>
                <w:lang w:eastAsia="en-GB"/>
              </w:rPr>
              <w:t>mouse</w:t>
            </w:r>
          </w:p>
        </w:tc>
        <w:tc>
          <w:tcPr>
            <w:tcW w:w="4347" w:type="dxa"/>
            <w:vAlign w:val="center"/>
          </w:tcPr>
          <w:p w14:paraId="393ADB02" w14:textId="77777777" w:rsidR="004C4E96" w:rsidRPr="00A207FB" w:rsidRDefault="004C4E96" w:rsidP="00FF28FE">
            <w:pPr>
              <w:contextualSpacing/>
              <w:jc w:val="left"/>
              <w:rPr>
                <w:rFonts w:cs="Arial"/>
              </w:rPr>
            </w:pPr>
            <w:r w:rsidRPr="00A207FB">
              <w:rPr>
                <w:rFonts w:cs="Arial"/>
                <w:color w:val="000000"/>
              </w:rPr>
              <w:t>TTTGAAGCACCAGGGCACATTTGG</w:t>
            </w:r>
          </w:p>
        </w:tc>
      </w:tr>
      <w:tr w:rsidR="004C4E96" w:rsidRPr="009F5AB4" w14:paraId="59886F29"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2A0DB1E0" w14:textId="77777777" w:rsidR="004C4E96" w:rsidRPr="004372AF" w:rsidRDefault="004C4E96" w:rsidP="00FF28FE">
            <w:pPr>
              <w:contextualSpacing/>
              <w:jc w:val="left"/>
              <w:rPr>
                <w:rFonts w:cs="Arial"/>
              </w:rPr>
            </w:pPr>
            <w:r w:rsidRPr="004372AF">
              <w:rPr>
                <w:rFonts w:cs="Arial"/>
              </w:rPr>
              <w:t>Klf4_fwd</w:t>
            </w:r>
          </w:p>
        </w:tc>
        <w:tc>
          <w:tcPr>
            <w:tcW w:w="1024" w:type="dxa"/>
            <w:vAlign w:val="center"/>
          </w:tcPr>
          <w:p w14:paraId="6A6DAE8C"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0CCE1857" w14:textId="77777777" w:rsidR="004C4E96" w:rsidRPr="004372AF" w:rsidRDefault="004C4E96" w:rsidP="00FF28FE">
            <w:pPr>
              <w:contextualSpacing/>
              <w:jc w:val="left"/>
              <w:rPr>
                <w:rFonts w:cs="Arial"/>
                <w:color w:val="000000"/>
              </w:rPr>
            </w:pPr>
            <w:r w:rsidRPr="004372AF">
              <w:rPr>
                <w:rFonts w:cs="Arial"/>
                <w:color w:val="000000"/>
              </w:rPr>
              <w:t>TTAGGCTGTTCTTTTCCGGGGCCACGA</w:t>
            </w:r>
          </w:p>
        </w:tc>
      </w:tr>
      <w:tr w:rsidR="004C4E96" w:rsidRPr="009F5AB4" w14:paraId="3954E1B1" w14:textId="77777777" w:rsidTr="00FF28FE">
        <w:trPr>
          <w:gridAfter w:val="1"/>
        </w:trPr>
        <w:tc>
          <w:tcPr>
            <w:tcW w:w="3649" w:type="dxa"/>
            <w:vAlign w:val="center"/>
          </w:tcPr>
          <w:p w14:paraId="621D6284" w14:textId="77777777" w:rsidR="004C4E96" w:rsidRPr="004372AF" w:rsidRDefault="004C4E96" w:rsidP="00FF28FE">
            <w:pPr>
              <w:contextualSpacing/>
              <w:jc w:val="left"/>
              <w:rPr>
                <w:rFonts w:cs="Arial"/>
              </w:rPr>
            </w:pPr>
            <w:r w:rsidRPr="004372AF">
              <w:rPr>
                <w:rFonts w:cs="Arial"/>
              </w:rPr>
              <w:t>Klf4_rev</w:t>
            </w:r>
          </w:p>
        </w:tc>
        <w:tc>
          <w:tcPr>
            <w:tcW w:w="1024" w:type="dxa"/>
            <w:vAlign w:val="center"/>
          </w:tcPr>
          <w:p w14:paraId="1C594E01"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29122CFE" w14:textId="77777777" w:rsidR="004C4E96" w:rsidRPr="004372AF" w:rsidRDefault="004C4E96" w:rsidP="00FF28FE">
            <w:pPr>
              <w:contextualSpacing/>
              <w:jc w:val="left"/>
              <w:rPr>
                <w:rFonts w:cs="Arial"/>
                <w:color w:val="000000"/>
              </w:rPr>
            </w:pPr>
            <w:r w:rsidRPr="004372AF">
              <w:rPr>
                <w:rFonts w:cs="Arial"/>
                <w:color w:val="000000"/>
              </w:rPr>
              <w:t>TTAGGCTGTTCTTTTCCGGGGCCACGA</w:t>
            </w:r>
          </w:p>
        </w:tc>
      </w:tr>
      <w:tr w:rsidR="004C4E96" w:rsidRPr="009F5AB4" w14:paraId="1A48349B"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08631FD7" w14:textId="77777777" w:rsidR="004C4E96" w:rsidRPr="004372AF" w:rsidRDefault="004C4E96" w:rsidP="00FF28FE">
            <w:pPr>
              <w:contextualSpacing/>
              <w:jc w:val="left"/>
              <w:rPr>
                <w:rFonts w:cs="Arial"/>
              </w:rPr>
            </w:pPr>
            <w:r w:rsidRPr="004372AF">
              <w:rPr>
                <w:rFonts w:cs="Arial"/>
              </w:rPr>
              <w:t>Krt20_fwd</w:t>
            </w:r>
          </w:p>
        </w:tc>
        <w:tc>
          <w:tcPr>
            <w:tcW w:w="1024" w:type="dxa"/>
            <w:vAlign w:val="center"/>
          </w:tcPr>
          <w:p w14:paraId="5DC93B18"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0BECE635" w14:textId="77777777" w:rsidR="004C4E96" w:rsidRPr="004372AF" w:rsidRDefault="004C4E96" w:rsidP="00FF28FE">
            <w:pPr>
              <w:contextualSpacing/>
              <w:jc w:val="left"/>
              <w:rPr>
                <w:rFonts w:cs="Arial"/>
                <w:color w:val="000000"/>
              </w:rPr>
            </w:pPr>
            <w:r w:rsidRPr="004372AF">
              <w:rPr>
                <w:rFonts w:cs="Arial"/>
                <w:color w:val="000000"/>
              </w:rPr>
              <w:t>AACTGGCAATGCAGAACCTGAACG</w:t>
            </w:r>
          </w:p>
        </w:tc>
      </w:tr>
      <w:tr w:rsidR="004C4E96" w:rsidRPr="009F5AB4" w14:paraId="0443FE98" w14:textId="77777777" w:rsidTr="00FF28FE">
        <w:trPr>
          <w:gridAfter w:val="1"/>
        </w:trPr>
        <w:tc>
          <w:tcPr>
            <w:tcW w:w="3649" w:type="dxa"/>
            <w:vAlign w:val="center"/>
          </w:tcPr>
          <w:p w14:paraId="5F16DE5F" w14:textId="77777777" w:rsidR="004C4E96" w:rsidRPr="004372AF" w:rsidRDefault="004C4E96" w:rsidP="00FF28FE">
            <w:pPr>
              <w:contextualSpacing/>
              <w:jc w:val="left"/>
              <w:rPr>
                <w:rFonts w:cs="Arial"/>
              </w:rPr>
            </w:pPr>
            <w:r w:rsidRPr="004372AF">
              <w:rPr>
                <w:rFonts w:cs="Arial"/>
              </w:rPr>
              <w:t>Krt20_rev</w:t>
            </w:r>
          </w:p>
        </w:tc>
        <w:tc>
          <w:tcPr>
            <w:tcW w:w="1024" w:type="dxa"/>
            <w:vAlign w:val="center"/>
          </w:tcPr>
          <w:p w14:paraId="0B5DC7F8"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27CD2653" w14:textId="77777777" w:rsidR="004C4E96" w:rsidRPr="00A207FB" w:rsidRDefault="004C4E96" w:rsidP="00FF28FE">
            <w:pPr>
              <w:contextualSpacing/>
              <w:jc w:val="left"/>
              <w:rPr>
                <w:rFonts w:cs="Arial"/>
                <w:color w:val="000000"/>
              </w:rPr>
            </w:pPr>
            <w:r w:rsidRPr="004372AF">
              <w:rPr>
                <w:rFonts w:cs="Arial"/>
                <w:color w:val="000000"/>
              </w:rPr>
              <w:t>TAGCATTGTCAATTCGCAGGACGC</w:t>
            </w:r>
          </w:p>
        </w:tc>
      </w:tr>
      <w:tr w:rsidR="004C4E96" w:rsidRPr="00A207FB" w14:paraId="0955E4FB"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3F8AC8C9" w14:textId="77777777" w:rsidR="004C4E96" w:rsidRPr="00A207FB" w:rsidRDefault="004C4E96" w:rsidP="00FF28FE">
            <w:pPr>
              <w:contextualSpacing/>
              <w:jc w:val="left"/>
              <w:rPr>
                <w:rFonts w:cs="Arial"/>
              </w:rPr>
            </w:pPr>
            <w:r w:rsidRPr="00A207FB">
              <w:rPr>
                <w:rFonts w:cs="Arial"/>
              </w:rPr>
              <w:t>Lyz_fwd</w:t>
            </w:r>
            <w:r>
              <w:rPr>
                <w:rFonts w:cs="Arial"/>
              </w:rPr>
              <w:t xml:space="preserve"> </w:t>
            </w:r>
            <w:r w:rsidRPr="00A207FB">
              <w:rPr>
                <w:rFonts w:cs="Arial"/>
              </w:rPr>
              <w:fldChar w:fldCharType="begin" w:fldLock="1"/>
            </w:r>
            <w:r>
              <w:rPr>
                <w:rFonts w:cs="Arial"/>
              </w:rPr>
              <w:instrText>ADDIN CSL_CITATION {"citationItems":[{"id":"ITEM-1","itemData":{"DOI":"10.1073/pnas.1309342111","ISSN":"1091-6490 (Electronic)\r0027-8424 (Linking)","PMID":"24550486","abstract":"In the development of the mammalian intestine, Notch and Wnt/beta-catenin signals control stem cell maintenance and their differentiation into absorptive and secretory cells. Mechanisms that regulate differentiation of progenitors into the three secretory lineages, goblet, paneth, or enteroendocrine cells, are not fully understood. Using conditional mutagenesis in mice, we observed that Shp2-mediated MAPK signaling determines the choice between paneth and goblet cell fates and also affects stem cells, which express the leucine-rich repeat-containing receptor 5 (Lgr5). Ablation of the tyrosine phosphatase Shp2 in the intestinal epithelium reduced MAPK signaling and led to a reduction of goblet cells while promoting paneth cell development. Conversely, conditional mitogen-activated protein kinase kinase 1 (Mek1) activation rescued the Shp2 phenotype, promoted goblet cell and inhibited paneth cell generation. The Shp2 mutation also expanded Lgr5+ stem cell niches, which could be restricted by activated Mek1 signaling. Changes of Lgr5+ stem cell quantities were accompanied by alterations of paneth cells, indicating that Shp2/MAPK signaling might affect stem cell niches directly or via paneth cells. Remarkably, inhibition of MAPK signaling in intestinal organoids and cultured cells changed the relative abundance of Tcf4 isoforms and by this, promoted Wnt/beta-catenin activity. The data thus show that Shp2-mediated MAPK signaling controls the choice between goblet and paneth cell fates by regulating Wnt/beta-catenin activity.","author":[{"dropping-particle":"","family":"Heuberger","given":"J","non-dropping-particle":"","parse-names":false,"suffix":""},{"dropping-particle":"","family":"Kosel","given":"F","non-dropping-particle":"","parse-names":false,"suffix":""},{"dropping-particle":"","family":"Qi","given":"J","non-dropping-particle":"","parse-names":false,"suffix":""},{"dropping-particle":"","family":"Grossmann","given":"K S","non-dropping-particle":"","parse-names":false,"suffix":""},{"dropping-particle":"","family":"Rajewsky","given":"K","non-dropping-particle":"","parse-names":false,"suffix":""},{"dropping-particle":"","family":"Birchmeier","given":"W","non-dropping-particle":"","parse-names":false,"suffix":""}],"container-title":"Proc Natl Acad Sci U S A","id":"ITEM-1","issue":"9","issued":{"date-parts":[["2014"]]},"note":"Heuberger, Julian\rKosel, Frauke\rQi, Jingjing\rGrossmann, Katja S\rRajewsky, Klaus\rBirchmeier, Walter\reng\rResearch Support, Non-U.S. Gov't\r2014/02/20 06:00\rProc Natl Acad Sci U S A. 2014 Mar 4;111(9):3472-7. doi: 10.1073/pnas.1309342111. Epub 2014 Feb 18.","page":"3472-3477","title":"Shp2/MAPK signaling controls goblet/paneth cell fate decisions in the intestine","type":"article-journal","volume":"111"},"uris":["http://www.mendeley.com/documents/?uuid=1bd3f7a1-25ca-347d-8a95-40643d93549e"]}],"mendeley":{"formattedCitation":"(Heuberger &lt;i&gt;et al&lt;/i&gt;, 2014)","plainTextFormattedCitation":"(Heuberger et al, 2014)","previouslyFormattedCitation":"(Heuberger &lt;i&gt;et al&lt;/i&gt;, 2014)"},"properties":{"noteIndex":0},"schema":"https://github.com/citation-style-language/schema/raw/master/csl-citation.json"}</w:instrText>
            </w:r>
            <w:r w:rsidRPr="00A207FB">
              <w:rPr>
                <w:rFonts w:cs="Arial"/>
              </w:rPr>
              <w:fldChar w:fldCharType="separate"/>
            </w:r>
            <w:r w:rsidRPr="00A8305D">
              <w:rPr>
                <w:rFonts w:cs="Arial"/>
                <w:noProof/>
              </w:rPr>
              <w:t xml:space="preserve">(Heuberger </w:t>
            </w:r>
            <w:r w:rsidRPr="00A8305D">
              <w:rPr>
                <w:rFonts w:cs="Arial"/>
                <w:i/>
                <w:noProof/>
              </w:rPr>
              <w:t>et al</w:t>
            </w:r>
            <w:r w:rsidRPr="00A8305D">
              <w:rPr>
                <w:rFonts w:cs="Arial"/>
                <w:noProof/>
              </w:rPr>
              <w:t>, 2014)</w:t>
            </w:r>
            <w:r w:rsidRPr="00A207FB">
              <w:rPr>
                <w:rFonts w:cs="Arial"/>
              </w:rPr>
              <w:fldChar w:fldCharType="end"/>
            </w:r>
          </w:p>
        </w:tc>
        <w:tc>
          <w:tcPr>
            <w:tcW w:w="1024" w:type="dxa"/>
            <w:vAlign w:val="center"/>
          </w:tcPr>
          <w:p w14:paraId="4A45B05E" w14:textId="77777777" w:rsidR="004C4E96" w:rsidRPr="00A207FB" w:rsidRDefault="004C4E96" w:rsidP="00FF28FE">
            <w:pPr>
              <w:contextualSpacing/>
              <w:jc w:val="left"/>
              <w:rPr>
                <w:rFonts w:eastAsia="Times New Roman" w:cs="Arial"/>
                <w:lang w:eastAsia="en-GB"/>
              </w:rPr>
            </w:pPr>
            <w:r w:rsidRPr="00A207FB">
              <w:rPr>
                <w:rFonts w:eastAsia="Times New Roman" w:cs="Arial"/>
                <w:lang w:eastAsia="en-GB"/>
              </w:rPr>
              <w:t>mouse</w:t>
            </w:r>
          </w:p>
        </w:tc>
        <w:tc>
          <w:tcPr>
            <w:tcW w:w="4347" w:type="dxa"/>
            <w:vAlign w:val="center"/>
          </w:tcPr>
          <w:p w14:paraId="6E8BEED2" w14:textId="77777777" w:rsidR="004C4E96" w:rsidRPr="00A207FB" w:rsidRDefault="004C4E96" w:rsidP="00FF28FE">
            <w:pPr>
              <w:contextualSpacing/>
              <w:jc w:val="left"/>
              <w:rPr>
                <w:rFonts w:cs="Arial"/>
                <w:color w:val="000000"/>
              </w:rPr>
            </w:pPr>
            <w:r w:rsidRPr="00A207FB">
              <w:rPr>
                <w:rFonts w:cs="Arial"/>
              </w:rPr>
              <w:t>GCAGCCATACAATGTGCAAAGAGG</w:t>
            </w:r>
          </w:p>
        </w:tc>
      </w:tr>
      <w:tr w:rsidR="004C4E96" w:rsidRPr="00745CBE" w14:paraId="6765DDB3" w14:textId="77777777" w:rsidTr="00FF28FE">
        <w:trPr>
          <w:gridAfter w:val="1"/>
        </w:trPr>
        <w:tc>
          <w:tcPr>
            <w:tcW w:w="3649" w:type="dxa"/>
            <w:vAlign w:val="center"/>
          </w:tcPr>
          <w:p w14:paraId="3F3E19DF" w14:textId="77777777" w:rsidR="004C4E96" w:rsidRPr="00745CBE" w:rsidRDefault="004C4E96" w:rsidP="00FF28FE">
            <w:pPr>
              <w:contextualSpacing/>
              <w:jc w:val="left"/>
              <w:rPr>
                <w:rFonts w:cs="Arial"/>
              </w:rPr>
            </w:pPr>
            <w:r w:rsidRPr="00745CBE">
              <w:rPr>
                <w:rFonts w:cs="Arial"/>
              </w:rPr>
              <w:t xml:space="preserve">Lyz_rev </w:t>
            </w:r>
            <w:r w:rsidRPr="00745CBE">
              <w:rPr>
                <w:rFonts w:cs="Arial"/>
              </w:rPr>
              <w:fldChar w:fldCharType="begin" w:fldLock="1"/>
            </w:r>
            <w:r w:rsidRPr="00745CBE">
              <w:rPr>
                <w:rFonts w:cs="Arial"/>
              </w:rPr>
              <w:instrText>ADDIN CSL_CITATION {"citationItems":[{"id":"ITEM-1","itemData":{"DOI":"10.1073/pnas.1309342111","ISSN":"1091-6490 (Electronic)\r0027-8424 (Linking)","PMID":"24550486","abstract":"In the development of the mammalian intestine, Notch and Wnt/beta-catenin signals control stem cell maintenance and their differentiation into absorptive and secretory cells. Mechanisms that regulate differentiation of progenitors into the three secretory lineages, goblet, paneth, or enteroendocrine cells, are not fully understood. Using conditional mutagenesis in mice, we observed that Shp2-mediated MAPK signaling determines the choice between paneth and goblet cell fates and also affects stem cells, which express the leucine-rich repeat-containing receptor 5 (Lgr5). Ablation of the tyrosine phosphatase Shp2 in the intestinal epithelium reduced MAPK signaling and led to a reduction of goblet cells while promoting paneth cell development. Conversely, conditional mitogen-activated protein kinase kinase 1 (Mek1) activation rescued the Shp2 phenotype, promoted goblet cell and inhibited paneth cell generation. The Shp2 mutation also expanded Lgr5+ stem cell niches, which could be restricted by activated Mek1 signaling. Changes of Lgr5+ stem cell quantities were accompanied by alterations of paneth cells, indicating that Shp2/MAPK signaling might affect stem cell niches directly or via paneth cells. Remarkably, inhibition of MAPK signaling in intestinal organoids and cultured cells changed the relative abundance of Tcf4 isoforms and by this, promoted Wnt/beta-catenin activity. The data thus show that Shp2-mediated MAPK signaling controls the choice between goblet and paneth cell fates by regulating Wnt/beta-catenin activity.","author":[{"dropping-particle":"","family":"Heuberger","given":"J","non-dropping-particle":"","parse-names":false,"suffix":""},{"dropping-particle":"","family":"Kosel","given":"F","non-dropping-particle":"","parse-names":false,"suffix":""},{"dropping-particle":"","family":"Qi","given":"J","non-dropping-particle":"","parse-names":false,"suffix":""},{"dropping-particle":"","family":"Grossmann","given":"K S","non-dropping-particle":"","parse-names":false,"suffix":""},{"dropping-particle":"","family":"Rajewsky","given":"K","non-dropping-particle":"","parse-names":false,"suffix":""},{"dropping-particle":"","family":"Birchmeier","given":"W","non-dropping-particle":"","parse-names":false,"suffix":""}],"container-title":"Proc Natl Acad Sci U S A","id":"ITEM-1","issue":"9","issued":{"date-parts":[["2014"]]},"note":"Heuberger, Julian\rKosel, Frauke\rQi, Jingjing\rGrossmann, Katja S\rRajewsky, Klaus\rBirchmeier, Walter\reng\rResearch Support, Non-U.S. Gov't\r2014/02/20 06:00\rProc Natl Acad Sci U S A. 2014 Mar 4;111(9):3472-7. doi: 10.1073/pnas.1309342111. Epub 2014 Feb 18.","page":"3472-3477","title":"Shp2/MAPK signaling controls goblet/paneth cell fate decisions in the intestine","type":"article-journal","volume":"111"},"uris":["http://www.mendeley.com/documents/?uuid=1bd3f7a1-25ca-347d-8a95-40643d93549e"]}],"mendeley":{"formattedCitation":"(Heuberger &lt;i&gt;et al&lt;/i&gt;, 2014)","plainTextFormattedCitation":"(Heuberger et al, 2014)","previouslyFormattedCitation":"(Heuberger &lt;i&gt;et al&lt;/i&gt;, 2014)"},"properties":{"noteIndex":0},"schema":"https://github.com/citation-style-language/schema/raw/master/csl-citation.json"}</w:instrText>
            </w:r>
            <w:r w:rsidRPr="00745CBE">
              <w:rPr>
                <w:rFonts w:cs="Arial"/>
              </w:rPr>
              <w:fldChar w:fldCharType="separate"/>
            </w:r>
            <w:r w:rsidRPr="00745CBE">
              <w:rPr>
                <w:rFonts w:cs="Arial"/>
                <w:noProof/>
              </w:rPr>
              <w:t xml:space="preserve">(Heuberger </w:t>
            </w:r>
            <w:r w:rsidRPr="00745CBE">
              <w:rPr>
                <w:rFonts w:cs="Arial"/>
                <w:i/>
                <w:noProof/>
              </w:rPr>
              <w:t>et al</w:t>
            </w:r>
            <w:r w:rsidRPr="00745CBE">
              <w:rPr>
                <w:rFonts w:cs="Arial"/>
                <w:noProof/>
              </w:rPr>
              <w:t>, 2014)</w:t>
            </w:r>
            <w:r w:rsidRPr="00745CBE">
              <w:rPr>
                <w:rFonts w:cs="Arial"/>
              </w:rPr>
              <w:fldChar w:fldCharType="end"/>
            </w:r>
          </w:p>
        </w:tc>
        <w:tc>
          <w:tcPr>
            <w:tcW w:w="1024" w:type="dxa"/>
            <w:vAlign w:val="center"/>
          </w:tcPr>
          <w:p w14:paraId="4C734BB0" w14:textId="77777777" w:rsidR="004C4E96" w:rsidRPr="00745CBE" w:rsidRDefault="004C4E96" w:rsidP="00FF28FE">
            <w:pPr>
              <w:contextualSpacing/>
              <w:jc w:val="left"/>
              <w:rPr>
                <w:rFonts w:eastAsia="Times New Roman" w:cs="Arial"/>
                <w:lang w:eastAsia="en-GB"/>
              </w:rPr>
            </w:pPr>
            <w:r w:rsidRPr="00745CBE">
              <w:rPr>
                <w:rFonts w:eastAsia="Times New Roman" w:cs="Arial"/>
                <w:lang w:eastAsia="en-GB"/>
              </w:rPr>
              <w:t>mouse</w:t>
            </w:r>
          </w:p>
        </w:tc>
        <w:tc>
          <w:tcPr>
            <w:tcW w:w="4347" w:type="dxa"/>
            <w:vAlign w:val="center"/>
          </w:tcPr>
          <w:p w14:paraId="7E2B8A4E" w14:textId="77777777" w:rsidR="004C4E96" w:rsidRPr="00745CBE" w:rsidRDefault="004C4E96" w:rsidP="00FF28FE">
            <w:pPr>
              <w:contextualSpacing/>
              <w:jc w:val="left"/>
              <w:rPr>
                <w:rFonts w:cs="Arial"/>
                <w:color w:val="000000"/>
              </w:rPr>
            </w:pPr>
            <w:r w:rsidRPr="00745CBE">
              <w:rPr>
                <w:rFonts w:cs="Arial"/>
                <w:color w:val="000000"/>
              </w:rPr>
              <w:t>TTTGCCCTGTTTCTGCTGAAGTCC</w:t>
            </w:r>
          </w:p>
        </w:tc>
      </w:tr>
      <w:tr w:rsidR="004C4E96" w:rsidRPr="00745CBE" w14:paraId="248E27D3" w14:textId="77777777" w:rsidTr="00FF28FE">
        <w:trPr>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49F71689" w14:textId="77777777" w:rsidR="004C4E96" w:rsidRPr="009F5AB4" w:rsidRDefault="004C4E96" w:rsidP="00FF28FE">
            <w:pPr>
              <w:contextualSpacing/>
              <w:jc w:val="left"/>
              <w:rPr>
                <w:rFonts w:cs="Arial"/>
                <w:lang w:val="en-US"/>
              </w:rPr>
            </w:pPr>
            <w:r w:rsidRPr="009F5AB4">
              <w:rPr>
                <w:rFonts w:cs="Arial"/>
                <w:lang w:val="en-US"/>
              </w:rPr>
              <w:t xml:space="preserve">Math1_fwd </w:t>
            </w:r>
            <w:r>
              <w:rPr>
                <w:rFonts w:cs="Arial"/>
              </w:rPr>
              <w:fldChar w:fldCharType="begin" w:fldLock="1"/>
            </w:r>
            <w:r w:rsidRPr="009F5AB4">
              <w:rPr>
                <w:rFonts w:cs="Arial"/>
                <w:lang w:val="en-US"/>
              </w:rPr>
              <w:instrText>ADDIN CSL_CITATION {"citationItems":[{"id":"ITEM-1","itemData":{"DOI":"10.1101/gad.1353905","ISSN":"0890-9369 (Print)\r0890-9369 (Linking)","PMID":"16230531","abstract":"Gfi1 is a transcriptional repressor implicated in lymphomagenesis, neutropenia, and hematopoietic development, as well as ear and lung development. Here, we demonstrate that Gfi1 functions downstream of Math1 in intestinal secretory lineage differentiation. Gfi1(-/-) mice lack Paneth cells, have fewer goblet cells, and supernumerary enteroendocrine cells. Gfi1(-/-) mice show gene expression changes consistent with this altered cell allocation. These data suggest that Gfi1 functions to select goblet/Paneth versus enteroendocrine progenitors. We propose a model of intestinal cell fate choice in which beta-catenin and Cdx function upstream of Math1, and lineage-specific genes such as Ngn3 act downstream of Gfi1.","author":[{"dropping-particle":"","family":"Shroyer","given":"N F","non-dropping-particle":"","parse-names":false,"suffix":""},{"dropping-particle":"","family":"Wallis","given":"D","non-dropping-particle":"","parse-names":false,"suffix":""},{"dropping-particle":"","family":"Venken","given":"K J","non-dropping-particle":"","parse-names":false,"suffix":""},{"dropping-particle":"","family":"Bellen","given":"H J","non-dropping-particle":"","parse-names":false,"suffix":""},{"dropping-particle":"","family":"Zoghbi","given":"H Y","non-dropping-particle":"","parse-names":false,"suffix":""}],"container-title":"Genes Dev","id":"ITEM-1","issue":"20","issued":{"date-parts":[["2005"]]},"note":"Shroyer, Noah F Wallis, Deeann Venken, Koen J T Bellen, Hugo J Zoghbi, Huda Y eng T32 DK07664/DK/NIDDK NIH HHS/ F32 DC005109/DC/NIDCD NIH HHS/ F32 DC5109/DC/NIDCD NIH HHS/ P30 DK56338/DK/NIDDK NIH HHS/ P30 HD024064/HD/NICHD NIH HHS/ F32 DK063747/DK/NIDDK NIH HHS/ P30 DK056338/DK/NIDDK NIH HHS/ F32 DK63747/DK/NIDDK NIH HHS/ P30 HD24064/HD/NICHD NIH HHS/ T32 DK007664/DK/NIDDK NIH HHS/ Research Support, N.I.H., Extramural Research Support, Non-U.S. Gov't Research Support, U.S. Gov't, Non-P.H.S. Research Support, U.S. Gov't, P.H.S. 2005/10/19 09:00 Genes Dev. 2005 Oct 15;19(20):2412-7. doi: 10.1101/gad.1353905.","page":"2412-2417","title":"Gfi1 functions downstream of Math1 to control intestinal secretory cell subtype allocation and differentiation","type":"article-journal","volume":"19"},"uris":["http://www.mendeley.com/documents/?uuid=ed08e89f-d758-36ee-aca2-18f19a30d64d"]}],"mendeley":{"formattedCitation":"(Shroyer &lt;i&gt;et al&lt;/i&gt;, 2005)","plainTextFormattedCitation":"(Shroyer et al, 2005)","previouslyFormattedCitation":"(Shroyer &lt;i&gt;et al&lt;/i&gt;, 2005)"},"properties":{"noteIndex":0},"schema":"https://github.com/citation-style-language/schema/raw/master/csl-citation.json"}</w:instrText>
            </w:r>
            <w:r>
              <w:rPr>
                <w:rFonts w:cs="Arial"/>
              </w:rPr>
              <w:fldChar w:fldCharType="separate"/>
            </w:r>
            <w:r w:rsidRPr="009F5AB4">
              <w:rPr>
                <w:rFonts w:cs="Arial"/>
                <w:noProof/>
                <w:lang w:val="en-US"/>
              </w:rPr>
              <w:t xml:space="preserve">(Shroyer </w:t>
            </w:r>
            <w:r w:rsidRPr="009F5AB4">
              <w:rPr>
                <w:rFonts w:cs="Arial"/>
                <w:i/>
                <w:noProof/>
                <w:lang w:val="en-US"/>
              </w:rPr>
              <w:t>et al</w:t>
            </w:r>
            <w:r w:rsidRPr="009F5AB4">
              <w:rPr>
                <w:rFonts w:cs="Arial"/>
                <w:noProof/>
                <w:lang w:val="en-US"/>
              </w:rPr>
              <w:t>, 2005)</w:t>
            </w:r>
            <w:r>
              <w:rPr>
                <w:rFonts w:cs="Arial"/>
              </w:rPr>
              <w:fldChar w:fldCharType="end"/>
            </w:r>
          </w:p>
        </w:tc>
        <w:tc>
          <w:tcPr>
            <w:tcW w:w="1024" w:type="dxa"/>
            <w:vAlign w:val="center"/>
          </w:tcPr>
          <w:p w14:paraId="27285EF0" w14:textId="77777777" w:rsidR="004C4E96" w:rsidRPr="00745CBE" w:rsidRDefault="004C4E96" w:rsidP="00FF28FE">
            <w:pPr>
              <w:contextualSpacing/>
              <w:jc w:val="left"/>
              <w:rPr>
                <w:rFonts w:eastAsia="Times New Roman" w:cs="Arial"/>
                <w:lang w:eastAsia="en-GB"/>
              </w:rPr>
            </w:pPr>
            <w:r w:rsidRPr="00745CBE">
              <w:rPr>
                <w:rFonts w:eastAsia="Times New Roman" w:cs="Arial"/>
                <w:lang w:eastAsia="en-GB"/>
              </w:rPr>
              <w:t>mouse</w:t>
            </w:r>
          </w:p>
        </w:tc>
        <w:tc>
          <w:tcPr>
            <w:tcW w:w="4347" w:type="dxa"/>
            <w:vAlign w:val="bottom"/>
          </w:tcPr>
          <w:p w14:paraId="52CED682" w14:textId="77777777" w:rsidR="004C4E96" w:rsidRPr="00745CBE" w:rsidRDefault="004C4E96" w:rsidP="00FF28FE">
            <w:pPr>
              <w:contextualSpacing/>
              <w:jc w:val="left"/>
              <w:rPr>
                <w:rFonts w:cs="Arial"/>
                <w:color w:val="000000"/>
              </w:rPr>
            </w:pPr>
            <w:r w:rsidRPr="00745CBE">
              <w:rPr>
                <w:rFonts w:cs="Arial"/>
              </w:rPr>
              <w:t>ATGCACGGGCTGAACCA</w:t>
            </w:r>
          </w:p>
        </w:tc>
        <w:tc>
          <w:tcPr>
            <w:tcW w:w="0" w:type="auto"/>
            <w:tcBorders>
              <w:top w:val="none" w:sz="0" w:space="0" w:color="auto"/>
              <w:bottom w:val="none" w:sz="0" w:space="0" w:color="auto"/>
            </w:tcBorders>
            <w:vAlign w:val="bottom"/>
          </w:tcPr>
          <w:p w14:paraId="64081157" w14:textId="77777777" w:rsidR="004C4E96" w:rsidRPr="00745CBE" w:rsidRDefault="004C4E96" w:rsidP="00FF28FE">
            <w:pPr>
              <w:spacing w:line="240" w:lineRule="auto"/>
              <w:jc w:val="left"/>
              <w:rPr>
                <w:rFonts w:cs="Arial"/>
              </w:rPr>
            </w:pPr>
          </w:p>
        </w:tc>
      </w:tr>
      <w:tr w:rsidR="004C4E96" w:rsidRPr="00745CBE" w14:paraId="2C36F4C4" w14:textId="77777777" w:rsidTr="00FF28FE">
        <w:trPr>
          <w:gridAfter w:val="1"/>
        </w:trPr>
        <w:tc>
          <w:tcPr>
            <w:tcW w:w="3649" w:type="dxa"/>
            <w:vAlign w:val="center"/>
          </w:tcPr>
          <w:p w14:paraId="7C9A8EBC" w14:textId="77777777" w:rsidR="004C4E96" w:rsidRPr="009F5AB4" w:rsidRDefault="004C4E96" w:rsidP="00FF28FE">
            <w:pPr>
              <w:contextualSpacing/>
              <w:jc w:val="left"/>
              <w:rPr>
                <w:rFonts w:cs="Arial"/>
                <w:lang w:val="en-US"/>
              </w:rPr>
            </w:pPr>
            <w:r w:rsidRPr="009F5AB4">
              <w:rPr>
                <w:rFonts w:cs="Arial"/>
                <w:lang w:val="en-US"/>
              </w:rPr>
              <w:t xml:space="preserve">Math1_rev </w:t>
            </w:r>
            <w:r>
              <w:rPr>
                <w:rFonts w:cs="Arial"/>
              </w:rPr>
              <w:fldChar w:fldCharType="begin" w:fldLock="1"/>
            </w:r>
            <w:r w:rsidRPr="009F5AB4">
              <w:rPr>
                <w:rFonts w:cs="Arial"/>
                <w:lang w:val="en-US"/>
              </w:rPr>
              <w:instrText>ADDIN CSL_CITATION {"citationItems":[{"id":"ITEM-1","itemData":{"DOI":"10.1101/gad.1353905","ISSN":"0890-9369 (Print)\r0890-9369 (Linking)","PMID":"16230531","abstract":"Gfi1 is a transcriptional repressor implicated in lymphomagenesis, neutropenia, and hematopoietic development, as well as ear and lung development. Here, we demonstrate that Gfi1 functions downstream of Math1 in intestinal secretory lineage differentiation. Gfi1(-/-) mice lack Paneth cells, have fewer goblet cells, and supernumerary enteroendocrine cells. Gfi1(-/-) mice show gene expression changes consistent with this altered cell allocation. These data suggest that Gfi1 functions to select goblet/Paneth versus enteroendocrine progenitors. We propose a model of intestinal cell fate choice in which beta-catenin and Cdx function upstream of Math1, and lineage-specific genes such as Ngn3 act downstream of Gfi1.","author":[{"dropping-particle":"","family":"Shroyer","given":"N F","non-dropping-particle":"","parse-names":false,"suffix":""},{"dropping-particle":"","family":"Wallis","given":"D","non-dropping-particle":"","parse-names":false,"suffix":""},{"dropping-particle":"","family":"Venken","given":"K J","non-dropping-particle":"","parse-names":false,"suffix":""},{"dropping-particle":"","family":"Bellen","given":"H J","non-dropping-particle":"","parse-names":false,"suffix":""},{"dropping-particle":"","family":"Zoghbi","given":"H Y","non-dropping-particle":"","parse-names":false,"suffix":""}],"container-title":"Genes Dev","id":"ITEM-1","issue":"20","issued":{"date-parts":[["2005"]]},"note":"Shroyer, Noah F Wallis, Deeann Venken, Koen J T Bellen, Hugo J Zoghbi, Huda Y eng T32 DK07664/DK/NIDDK NIH HHS/ F32 DC005109/DC/NIDCD NIH HHS/ F32 DC5109/DC/NIDCD NIH HHS/ P30 DK56338/DK/NIDDK NIH HHS/ P30 HD024064/HD/NICHD NIH HHS/ F32 DK063747/DK/NIDDK NIH HHS/ P30 DK056338/DK/NIDDK NIH HHS/ F32 DK63747/DK/NIDDK NIH HHS/ P30 HD24064/HD/NICHD NIH HHS/ T32 DK007664/DK/NIDDK NIH HHS/ Research Support, N.I.H., Extramural Research Support, Non-U.S. Gov't Research Support, U.S. Gov't, Non-P.H.S. Research Support, U.S. Gov't, P.H.S. 2005/10/19 09:00 Genes Dev. 2005 Oct 15;19(20):2412-7. doi: 10.1101/gad.1353905.","page":"2412-2417","title":"Gfi1 functions downstream of Math1 to control intestinal secretory cell subtype allocation and differentiation","type":"article-journal","volume":"19"},"uris":["http://www.mendeley.com/documents/?uuid=ed08e89f-d758-36ee-aca2-18f19a30d64d"]}],"mendeley":{"formattedCitation":"(Shroyer &lt;i&gt;et al&lt;/i&gt;, 2005)","plainTextFormattedCitation":"(Shroyer et al, 2005)"},"properties":{"noteIndex":0},"schema":"https://github.com/citation-style-language/schema/raw/master/csl-citation.json"}</w:instrText>
            </w:r>
            <w:r>
              <w:rPr>
                <w:rFonts w:cs="Arial"/>
              </w:rPr>
              <w:fldChar w:fldCharType="separate"/>
            </w:r>
            <w:r w:rsidRPr="009F5AB4">
              <w:rPr>
                <w:rFonts w:cs="Arial"/>
                <w:noProof/>
                <w:lang w:val="en-US"/>
              </w:rPr>
              <w:t xml:space="preserve">(Shroyer </w:t>
            </w:r>
            <w:r w:rsidRPr="009F5AB4">
              <w:rPr>
                <w:rFonts w:cs="Arial"/>
                <w:i/>
                <w:noProof/>
                <w:lang w:val="en-US"/>
              </w:rPr>
              <w:t>et al</w:t>
            </w:r>
            <w:r w:rsidRPr="009F5AB4">
              <w:rPr>
                <w:rFonts w:cs="Arial"/>
                <w:noProof/>
                <w:lang w:val="en-US"/>
              </w:rPr>
              <w:t>, 2005)</w:t>
            </w:r>
            <w:r>
              <w:rPr>
                <w:rFonts w:cs="Arial"/>
              </w:rPr>
              <w:fldChar w:fldCharType="end"/>
            </w:r>
          </w:p>
        </w:tc>
        <w:tc>
          <w:tcPr>
            <w:tcW w:w="1024" w:type="dxa"/>
            <w:vAlign w:val="center"/>
          </w:tcPr>
          <w:p w14:paraId="5062AE45" w14:textId="77777777" w:rsidR="004C4E96" w:rsidRPr="00745CBE" w:rsidRDefault="004C4E96" w:rsidP="00FF28FE">
            <w:pPr>
              <w:contextualSpacing/>
              <w:jc w:val="left"/>
              <w:rPr>
                <w:rFonts w:eastAsia="Times New Roman" w:cs="Arial"/>
                <w:lang w:eastAsia="en-GB"/>
              </w:rPr>
            </w:pPr>
            <w:r w:rsidRPr="00745CBE">
              <w:rPr>
                <w:rFonts w:eastAsia="Times New Roman" w:cs="Arial"/>
                <w:lang w:eastAsia="en-GB"/>
              </w:rPr>
              <w:t>mouse</w:t>
            </w:r>
          </w:p>
        </w:tc>
        <w:tc>
          <w:tcPr>
            <w:tcW w:w="4347" w:type="dxa"/>
            <w:vAlign w:val="center"/>
          </w:tcPr>
          <w:p w14:paraId="74C45D29" w14:textId="77777777" w:rsidR="004C4E96" w:rsidRPr="00745CBE" w:rsidRDefault="004C4E96" w:rsidP="00FF28FE">
            <w:pPr>
              <w:contextualSpacing/>
              <w:jc w:val="left"/>
              <w:rPr>
                <w:rFonts w:cs="Arial"/>
                <w:color w:val="000000"/>
              </w:rPr>
            </w:pPr>
            <w:r w:rsidRPr="00745CBE">
              <w:rPr>
                <w:rFonts w:cs="Arial"/>
              </w:rPr>
              <w:t>TCGTTGTTGAAGGACGGGATA</w:t>
            </w:r>
          </w:p>
        </w:tc>
      </w:tr>
      <w:tr w:rsidR="004C4E96" w:rsidRPr="00A926FA" w14:paraId="48839FF3"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5358DB3E" w14:textId="77777777" w:rsidR="004C4E96" w:rsidRPr="00A926FA" w:rsidRDefault="004C4E96" w:rsidP="00FF28FE">
            <w:pPr>
              <w:contextualSpacing/>
              <w:jc w:val="left"/>
              <w:rPr>
                <w:rFonts w:cs="Arial"/>
                <w:highlight w:val="yellow"/>
              </w:rPr>
            </w:pPr>
            <w:r w:rsidRPr="00A207FB">
              <w:rPr>
                <w:rFonts w:cs="Arial"/>
              </w:rPr>
              <w:t>Mll1_fwd</w:t>
            </w:r>
          </w:p>
        </w:tc>
        <w:tc>
          <w:tcPr>
            <w:tcW w:w="1024" w:type="dxa"/>
            <w:vAlign w:val="center"/>
          </w:tcPr>
          <w:p w14:paraId="12DFC3C6" w14:textId="77777777" w:rsidR="004C4E96" w:rsidRPr="00A926FA" w:rsidRDefault="004C4E96" w:rsidP="00FF28FE">
            <w:pPr>
              <w:contextualSpacing/>
              <w:jc w:val="left"/>
              <w:rPr>
                <w:rFonts w:eastAsia="Times New Roman" w:cs="Arial"/>
                <w:highlight w:val="yellow"/>
                <w:lang w:eastAsia="en-GB"/>
              </w:rPr>
            </w:pPr>
            <w:r w:rsidRPr="00A207FB">
              <w:rPr>
                <w:rFonts w:eastAsia="Times New Roman" w:cs="Arial"/>
                <w:lang w:eastAsia="en-GB"/>
              </w:rPr>
              <w:t>mous</w:t>
            </w:r>
            <w:r>
              <w:rPr>
                <w:rFonts w:eastAsia="Times New Roman" w:cs="Arial"/>
                <w:lang w:eastAsia="en-GB"/>
              </w:rPr>
              <w:t>e</w:t>
            </w:r>
          </w:p>
        </w:tc>
        <w:tc>
          <w:tcPr>
            <w:tcW w:w="4347" w:type="dxa"/>
            <w:vAlign w:val="center"/>
          </w:tcPr>
          <w:p w14:paraId="2D664C23" w14:textId="77777777" w:rsidR="004C4E96" w:rsidRPr="00A926FA" w:rsidRDefault="004C4E96" w:rsidP="00FF28FE">
            <w:pPr>
              <w:contextualSpacing/>
              <w:jc w:val="left"/>
              <w:rPr>
                <w:rFonts w:cs="Arial"/>
                <w:color w:val="000000"/>
                <w:highlight w:val="yellow"/>
              </w:rPr>
            </w:pPr>
            <w:r w:rsidRPr="00A207FB">
              <w:rPr>
                <w:rFonts w:cs="Arial"/>
                <w:color w:val="000000"/>
              </w:rPr>
              <w:t>TGAGCTGCAGATGACTGGTTA</w:t>
            </w:r>
          </w:p>
        </w:tc>
      </w:tr>
      <w:tr w:rsidR="004C4E96" w:rsidRPr="00A207FB" w14:paraId="5B7E3DE5" w14:textId="77777777" w:rsidTr="00FF28FE">
        <w:trPr>
          <w:gridAfter w:val="1"/>
        </w:trPr>
        <w:tc>
          <w:tcPr>
            <w:tcW w:w="3649" w:type="dxa"/>
            <w:vAlign w:val="center"/>
          </w:tcPr>
          <w:p w14:paraId="7C9C00D2" w14:textId="77777777" w:rsidR="004C4E96" w:rsidRPr="00A926FA" w:rsidRDefault="004C4E96" w:rsidP="00FF28FE">
            <w:pPr>
              <w:contextualSpacing/>
              <w:jc w:val="left"/>
              <w:rPr>
                <w:rFonts w:cs="Arial"/>
                <w:highlight w:val="yellow"/>
              </w:rPr>
            </w:pPr>
            <w:r w:rsidRPr="00A207FB">
              <w:rPr>
                <w:rFonts w:cs="Arial"/>
              </w:rPr>
              <w:t>Mll1_rev</w:t>
            </w:r>
          </w:p>
        </w:tc>
        <w:tc>
          <w:tcPr>
            <w:tcW w:w="1024" w:type="dxa"/>
            <w:vAlign w:val="center"/>
          </w:tcPr>
          <w:p w14:paraId="07D86670" w14:textId="77777777" w:rsidR="004C4E96" w:rsidRPr="00A207FB" w:rsidRDefault="004C4E96" w:rsidP="00FF28FE">
            <w:pPr>
              <w:contextualSpacing/>
              <w:jc w:val="left"/>
              <w:rPr>
                <w:rFonts w:eastAsia="Times New Roman" w:cs="Arial"/>
                <w:lang w:eastAsia="en-GB"/>
              </w:rPr>
            </w:pPr>
            <w:r>
              <w:rPr>
                <w:rFonts w:eastAsia="Times New Roman" w:cs="Arial"/>
                <w:lang w:eastAsia="en-GB"/>
              </w:rPr>
              <w:t>mouse</w:t>
            </w:r>
          </w:p>
        </w:tc>
        <w:tc>
          <w:tcPr>
            <w:tcW w:w="4347" w:type="dxa"/>
            <w:vAlign w:val="center"/>
          </w:tcPr>
          <w:p w14:paraId="13DE8AC4" w14:textId="77777777" w:rsidR="004C4E96" w:rsidRPr="00A207FB" w:rsidRDefault="004C4E96" w:rsidP="00FF28FE">
            <w:pPr>
              <w:contextualSpacing/>
              <w:jc w:val="left"/>
              <w:rPr>
                <w:rFonts w:cs="Arial"/>
                <w:color w:val="000000"/>
              </w:rPr>
            </w:pPr>
            <w:r w:rsidRPr="00A207FB">
              <w:rPr>
                <w:rFonts w:cs="Arial"/>
                <w:color w:val="000000"/>
              </w:rPr>
              <w:t>CCAGAGCATCAGAGGAGAGC</w:t>
            </w:r>
          </w:p>
        </w:tc>
      </w:tr>
      <w:tr w:rsidR="004C4E96" w:rsidRPr="00A207FB" w14:paraId="0596CD25"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151958FB" w14:textId="77777777" w:rsidR="004C4E96" w:rsidRPr="00A926FA" w:rsidRDefault="004C4E96" w:rsidP="00FF28FE">
            <w:pPr>
              <w:contextualSpacing/>
              <w:jc w:val="left"/>
              <w:rPr>
                <w:rFonts w:cs="Arial"/>
                <w:highlight w:val="yellow"/>
              </w:rPr>
            </w:pPr>
            <w:r w:rsidRPr="00A207FB">
              <w:rPr>
                <w:rFonts w:cs="Arial"/>
              </w:rPr>
              <w:t>Mmp7_fwd</w:t>
            </w:r>
          </w:p>
        </w:tc>
        <w:tc>
          <w:tcPr>
            <w:tcW w:w="1024" w:type="dxa"/>
            <w:vAlign w:val="center"/>
          </w:tcPr>
          <w:p w14:paraId="0877400C" w14:textId="77777777" w:rsidR="004C4E96" w:rsidRPr="00A926FA" w:rsidRDefault="004C4E96" w:rsidP="00FF28FE">
            <w:pPr>
              <w:contextualSpacing/>
              <w:jc w:val="left"/>
              <w:rPr>
                <w:rFonts w:eastAsia="Times New Roman" w:cs="Arial"/>
                <w:highlight w:val="yellow"/>
                <w:lang w:eastAsia="en-GB"/>
              </w:rPr>
            </w:pPr>
            <w:r w:rsidRPr="00A207FB">
              <w:rPr>
                <w:rFonts w:eastAsia="Times New Roman" w:cs="Arial"/>
                <w:lang w:eastAsia="en-GB"/>
              </w:rPr>
              <w:t>mouse</w:t>
            </w:r>
          </w:p>
        </w:tc>
        <w:tc>
          <w:tcPr>
            <w:tcW w:w="4347" w:type="dxa"/>
            <w:vAlign w:val="center"/>
          </w:tcPr>
          <w:p w14:paraId="61E0BBF0" w14:textId="77777777" w:rsidR="004C4E96" w:rsidRPr="00A207FB" w:rsidRDefault="004C4E96" w:rsidP="00FF28FE">
            <w:pPr>
              <w:contextualSpacing/>
              <w:jc w:val="left"/>
              <w:rPr>
                <w:rFonts w:cs="Arial"/>
                <w:color w:val="000000"/>
              </w:rPr>
            </w:pPr>
            <w:r w:rsidRPr="00A207FB">
              <w:rPr>
                <w:rFonts w:cs="Arial"/>
                <w:color w:val="000000"/>
              </w:rPr>
              <w:t>AGGAGTGAACTTCCTGTTTGCTGC</w:t>
            </w:r>
          </w:p>
        </w:tc>
      </w:tr>
      <w:tr w:rsidR="004C4E96" w:rsidRPr="00A207FB" w14:paraId="0BFD1EFE" w14:textId="77777777" w:rsidTr="00FF28FE">
        <w:trPr>
          <w:gridAfter w:val="1"/>
        </w:trPr>
        <w:tc>
          <w:tcPr>
            <w:tcW w:w="3649" w:type="dxa"/>
            <w:vAlign w:val="center"/>
          </w:tcPr>
          <w:p w14:paraId="0548A796" w14:textId="77777777" w:rsidR="004C4E96" w:rsidRPr="00A926FA" w:rsidRDefault="004C4E96" w:rsidP="00FF28FE">
            <w:pPr>
              <w:contextualSpacing/>
              <w:jc w:val="left"/>
              <w:rPr>
                <w:rFonts w:cs="Arial"/>
                <w:highlight w:val="yellow"/>
              </w:rPr>
            </w:pPr>
            <w:r w:rsidRPr="00A207FB">
              <w:rPr>
                <w:rFonts w:cs="Arial"/>
              </w:rPr>
              <w:t>Mmp7_rev</w:t>
            </w:r>
          </w:p>
        </w:tc>
        <w:tc>
          <w:tcPr>
            <w:tcW w:w="1024" w:type="dxa"/>
            <w:vAlign w:val="center"/>
          </w:tcPr>
          <w:p w14:paraId="4F51E03C" w14:textId="77777777" w:rsidR="004C4E96" w:rsidRPr="00A926FA" w:rsidRDefault="004C4E96" w:rsidP="00FF28FE">
            <w:pPr>
              <w:contextualSpacing/>
              <w:jc w:val="left"/>
              <w:rPr>
                <w:rFonts w:eastAsia="Times New Roman" w:cs="Arial"/>
                <w:highlight w:val="yellow"/>
                <w:lang w:eastAsia="en-GB"/>
              </w:rPr>
            </w:pPr>
            <w:r w:rsidRPr="00A207FB">
              <w:rPr>
                <w:rFonts w:eastAsia="Times New Roman" w:cs="Arial"/>
                <w:lang w:eastAsia="en-GB"/>
              </w:rPr>
              <w:t>mouse</w:t>
            </w:r>
          </w:p>
        </w:tc>
        <w:tc>
          <w:tcPr>
            <w:tcW w:w="4347" w:type="dxa"/>
            <w:vAlign w:val="center"/>
          </w:tcPr>
          <w:p w14:paraId="13144739" w14:textId="77777777" w:rsidR="004C4E96" w:rsidRPr="00A207FB" w:rsidRDefault="004C4E96" w:rsidP="00FF28FE">
            <w:pPr>
              <w:contextualSpacing/>
              <w:jc w:val="left"/>
              <w:rPr>
                <w:rFonts w:cs="Arial"/>
                <w:color w:val="000000"/>
              </w:rPr>
            </w:pPr>
            <w:r w:rsidRPr="00A207FB">
              <w:rPr>
                <w:rFonts w:cs="Arial"/>
                <w:color w:val="000000"/>
              </w:rPr>
              <w:t>TTCTGAATGCCTGCAATGTCGTCC</w:t>
            </w:r>
          </w:p>
        </w:tc>
      </w:tr>
      <w:tr w:rsidR="004C4E96" w:rsidRPr="00A207FB" w14:paraId="66CF8772"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089A9C1E" w14:textId="77777777" w:rsidR="004C4E96" w:rsidRPr="009F5AB4" w:rsidRDefault="004C4E96" w:rsidP="00FF28FE">
            <w:pPr>
              <w:contextualSpacing/>
              <w:jc w:val="left"/>
              <w:rPr>
                <w:rFonts w:cs="Arial"/>
                <w:lang w:val="en-US"/>
              </w:rPr>
            </w:pPr>
            <w:r w:rsidRPr="009F5AB4">
              <w:rPr>
                <w:rFonts w:cs="Arial"/>
                <w:lang w:val="en-US"/>
              </w:rPr>
              <w:t xml:space="preserve">Muc2_fwd </w:t>
            </w:r>
            <w:r w:rsidRPr="00A207FB">
              <w:rPr>
                <w:rFonts w:cs="Arial"/>
              </w:rPr>
              <w:fldChar w:fldCharType="begin" w:fldLock="1"/>
            </w:r>
            <w:r w:rsidRPr="009F5AB4">
              <w:rPr>
                <w:rFonts w:cs="Arial"/>
                <w:lang w:val="en-US"/>
              </w:rPr>
              <w:instrText>ADDIN CSL_CITATION {"citationItems":[{"id":"ITEM-1","itemData":{"DOI":"10.1073/pnas.1309342111","ISSN":"1091-6490 (Electronic)\r0027-8424 (Linking)","PMID":"24550486","abstract":"In the development of the mammalian intestine, Notch and Wnt/beta-catenin signals control stem cell maintenance and their differentiation into absorptive and secretory cells. Mechanisms that regulate differentiation of progenitors into the three secretory lineages, goblet, paneth, or enteroendocrine cells, are not fully understood. Using conditional mutagenesis in mice, we observed that Shp2-mediated MAPK signaling determines the choice between paneth and goblet cell fates and also affects stem cells, which express the leucine-rich repeat-containing receptor 5 (Lgr5). Ablation of the tyrosine phosphatase Shp2 in the intestinal epithelium reduced MAPK signaling and led to a reduction of goblet cells while promoting paneth cell development. Conversely, conditional mitogen-activated protein kinase kinase 1 (Mek1) activation rescued the Shp2 phenotype, promoted goblet cell and inhibited paneth cell generation. The Shp2 mutation also expanded Lgr5+ stem cell niches, which could be restricted by activated Mek1 signaling. Changes of Lgr5+ stem cell quantities were accompanied by alterations of paneth cells, indicating that Shp2/MAPK signaling might affect stem cell niches directly or via paneth cells. Remarkably, inhibition of MAPK signaling in intestinal organoids and cultured cells changed the relative abundance of Tcf4 isoforms and by this, promoted Wnt/beta-catenin activity. The data thus show that Shp2-mediated MAPK signaling controls the choice between goblet and paneth cell fates by regulating Wnt/beta-catenin activity.","author":[{"dropping-particle":"","family":"Heuberger","given":"J","non-dropping-particle":"","parse-names":false,"suffix":""},{"dropping-particle":"","family":"Kosel","given":"F","non-dropping-particle":"","parse-names":false,"suffix":""},{"dropping-particle":"","family":"Qi","given":"J","non-dropping-particle":"","parse-names":false,"suffix":""},{"dropping-particle":"","family":"Grossmann","given":"K S","non-dropping-particle":"","parse-names":false,"suffix":""},{"dropping-particle":"","family":"Rajewsky","given":"K","non-dropping-particle":"","parse-names":false,"suffix":""},{"dropping-particle":"","family":"Birchmeier","given":"W","non-dropping-particle":"","parse-names":false,"suffix":""}],"container-title":"Proc Natl Acad Sci U S A","id":"ITEM-1","issue":"9","issued":{"date-parts":[["2014"]]},"note":"Heuberger, Julian\rKosel, Frauke\rQi, Jingjing\rGrossmann, Katja S\rRajewsky, Klaus\rBirchmeier, Walter\reng\rResearch Support, Non-U.S. Gov't\r2014/02/20 06:00\rProc Natl Acad Sci U S A. 2014 Mar 4;111(9):3472-7. doi: 10.1073/pnas.1309342111. Epub 2014 Feb 18.","page":"3472-3477","title":"Shp2/MAPK signaling controls goblet/paneth cell fate decisions in the intestine","type":"article-journal","volume":"111"},"uris":["http://www.mendeley.com/documents/?uuid=1bd3f7a1-25ca-347d-8a95-40643d93549e"]}],"mendeley":{"formattedCitation":"(Heuberger &lt;i&gt;et al&lt;/i&gt;, 2014)","plainTextFormattedCitation":"(Heuberger et al, 2014)","previouslyFormattedCitation":"(Heuberger &lt;i&gt;et al&lt;/i&gt;, 2014)"},"properties":{"noteIndex":0},"schema":"https://github.com/citation-style-language/schema/raw/master/csl-citation.json"}</w:instrText>
            </w:r>
            <w:r w:rsidRPr="00A207FB">
              <w:rPr>
                <w:rFonts w:cs="Arial"/>
              </w:rPr>
              <w:fldChar w:fldCharType="separate"/>
            </w:r>
            <w:r w:rsidRPr="009F5AB4">
              <w:rPr>
                <w:rFonts w:cs="Arial"/>
                <w:noProof/>
                <w:lang w:val="en-US"/>
              </w:rPr>
              <w:t xml:space="preserve">(Heuberger </w:t>
            </w:r>
            <w:r w:rsidRPr="009F5AB4">
              <w:rPr>
                <w:rFonts w:cs="Arial"/>
                <w:i/>
                <w:noProof/>
                <w:lang w:val="en-US"/>
              </w:rPr>
              <w:t>et al</w:t>
            </w:r>
            <w:r w:rsidRPr="009F5AB4">
              <w:rPr>
                <w:rFonts w:cs="Arial"/>
                <w:noProof/>
                <w:lang w:val="en-US"/>
              </w:rPr>
              <w:t>, 2014)</w:t>
            </w:r>
            <w:r w:rsidRPr="00A207FB">
              <w:rPr>
                <w:rFonts w:cs="Arial"/>
              </w:rPr>
              <w:fldChar w:fldCharType="end"/>
            </w:r>
          </w:p>
        </w:tc>
        <w:tc>
          <w:tcPr>
            <w:tcW w:w="1024" w:type="dxa"/>
            <w:vAlign w:val="center"/>
          </w:tcPr>
          <w:p w14:paraId="2E63D3F6" w14:textId="77777777" w:rsidR="004C4E96" w:rsidRPr="00A207FB" w:rsidRDefault="004C4E96" w:rsidP="00FF28FE">
            <w:pPr>
              <w:contextualSpacing/>
              <w:jc w:val="left"/>
              <w:rPr>
                <w:rFonts w:eastAsia="Times New Roman" w:cs="Arial"/>
                <w:lang w:eastAsia="en-GB"/>
              </w:rPr>
            </w:pPr>
            <w:r w:rsidRPr="00A207FB">
              <w:rPr>
                <w:rFonts w:eastAsia="Times New Roman" w:cs="Arial"/>
                <w:lang w:eastAsia="en-GB"/>
              </w:rPr>
              <w:t>mouse</w:t>
            </w:r>
          </w:p>
        </w:tc>
        <w:tc>
          <w:tcPr>
            <w:tcW w:w="4347" w:type="dxa"/>
            <w:vAlign w:val="center"/>
          </w:tcPr>
          <w:p w14:paraId="46C74C86" w14:textId="77777777" w:rsidR="004C4E96" w:rsidRPr="00A207FB" w:rsidRDefault="004C4E96" w:rsidP="00FF28FE">
            <w:pPr>
              <w:contextualSpacing/>
              <w:jc w:val="left"/>
              <w:rPr>
                <w:rFonts w:cs="Arial"/>
                <w:color w:val="000000"/>
              </w:rPr>
            </w:pPr>
            <w:r w:rsidRPr="00A207FB">
              <w:rPr>
                <w:rFonts w:cs="Arial"/>
                <w:color w:val="000000"/>
              </w:rPr>
              <w:t>TGTGATGCCAATGACAAGGTGTCC</w:t>
            </w:r>
          </w:p>
        </w:tc>
      </w:tr>
      <w:tr w:rsidR="004C4E96" w:rsidRPr="009F5AB4" w14:paraId="0BDD6A28" w14:textId="77777777" w:rsidTr="00FF28FE">
        <w:trPr>
          <w:gridAfter w:val="1"/>
        </w:trPr>
        <w:tc>
          <w:tcPr>
            <w:tcW w:w="3649" w:type="dxa"/>
            <w:vAlign w:val="center"/>
          </w:tcPr>
          <w:p w14:paraId="428C074A" w14:textId="77777777" w:rsidR="004C4E96" w:rsidRPr="00A207FB" w:rsidRDefault="004C4E96" w:rsidP="00FF28FE">
            <w:pPr>
              <w:contextualSpacing/>
              <w:jc w:val="left"/>
              <w:rPr>
                <w:rFonts w:cs="Arial"/>
              </w:rPr>
            </w:pPr>
            <w:r w:rsidRPr="00A207FB">
              <w:rPr>
                <w:rFonts w:cs="Arial"/>
              </w:rPr>
              <w:t>Muc2_rev</w:t>
            </w:r>
            <w:r>
              <w:rPr>
                <w:rFonts w:cs="Arial"/>
              </w:rPr>
              <w:t xml:space="preserve"> </w:t>
            </w:r>
            <w:r w:rsidRPr="00A207FB">
              <w:rPr>
                <w:rFonts w:cs="Arial"/>
              </w:rPr>
              <w:fldChar w:fldCharType="begin" w:fldLock="1"/>
            </w:r>
            <w:r>
              <w:rPr>
                <w:rFonts w:cs="Arial"/>
              </w:rPr>
              <w:instrText>ADDIN CSL_CITATION {"citationItems":[{"id":"ITEM-1","itemData":{"DOI":"10.1073/pnas.1309342111","ISSN":"1091-6490 (Electronic)\r0027-8424 (Linking)","PMID":"24550486","abstract":"In the development of the mammalian intestine, Notch and Wnt/beta-catenin signals control stem cell maintenance and their differentiation into absorptive and secretory cells. Mechanisms that regulate differentiation of progenitors into the three secretory lineages, goblet, paneth, or enteroendocrine cells, are not fully understood. Using conditional mutagenesis in mice, we observed that Shp2-mediated MAPK signaling determines the choice between paneth and goblet cell fates and also affects stem cells, which express the leucine-rich repeat-containing receptor 5 (Lgr5). Ablation of the tyrosine phosphatase Shp2 in the intestinal epithelium reduced MAPK signaling and led to a reduction of goblet cells while promoting paneth cell development. Conversely, conditional mitogen-activated protein kinase kinase 1 (Mek1) activation rescued the Shp2 phenotype, promoted goblet cell and inhibited paneth cell generation. The Shp2 mutation also expanded Lgr5+ stem cell niches, which could be restricted by activated Mek1 signaling. Changes of Lgr5+ stem cell quantities were accompanied by alterations of paneth cells, indicating that Shp2/MAPK signaling might affect stem cell niches directly or via paneth cells. Remarkably, inhibition of MAPK signaling in intestinal organoids and cultured cells changed the relative abundance of Tcf4 isoforms and by this, promoted Wnt/beta-catenin activity. The data thus show that Shp2-mediated MAPK signaling controls the choice between goblet and paneth cell fates by regulating Wnt/beta-catenin activity.","author":[{"dropping-particle":"","family":"Heuberger","given":"J","non-dropping-particle":"","parse-names":false,"suffix":""},{"dropping-particle":"","family":"Kosel","given":"F","non-dropping-particle":"","parse-names":false,"suffix":""},{"dropping-particle":"","family":"Qi","given":"J","non-dropping-particle":"","parse-names":false,"suffix":""},{"dropping-particle":"","family":"Grossmann","given":"K S","non-dropping-particle":"","parse-names":false,"suffix":""},{"dropping-particle":"","family":"Rajewsky","given":"K","non-dropping-particle":"","parse-names":false,"suffix":""},{"dropping-particle":"","family":"Birchmeier","given":"W","non-dropping-particle":"","parse-names":false,"suffix":""}],"container-title":"Proc Natl Acad Sci U S A","id":"ITEM-1","issue":"9","issued":{"date-parts":[["2014"]]},"note":"Heuberger, Julian\rKosel, Frauke\rQi, Jingjing\rGrossmann, Katja S\rRajewsky, Klaus\rBirchmeier, Walter\reng\rResearch Support, Non-U.S. Gov't\r2014/02/20 06:00\rProc Natl Acad Sci U S A. 2014 Mar 4;111(9):3472-7. doi: 10.1073/pnas.1309342111. Epub 2014 Feb 18.","page":"3472-3477","title":"Shp2/MAPK signaling controls goblet/paneth cell fate decisions in the intestine","type":"article-journal","volume":"111"},"uris":["http://www.mendeley.com/documents/?uuid=1bd3f7a1-25ca-347d-8a95-40643d93549e"]}],"mendeley":{"formattedCitation":"(Heuberger &lt;i&gt;et al&lt;/i&gt;, 2014)","plainTextFormattedCitation":"(Heuberger et al, 2014)","previouslyFormattedCitation":"(Heuberger &lt;i&gt;et al&lt;/i&gt;, 2014)"},"properties":{"noteIndex":0},"schema":"https://github.com/citation-style-language/schema/raw/master/csl-citation.json"}</w:instrText>
            </w:r>
            <w:r w:rsidRPr="00A207FB">
              <w:rPr>
                <w:rFonts w:cs="Arial"/>
              </w:rPr>
              <w:fldChar w:fldCharType="separate"/>
            </w:r>
            <w:r w:rsidRPr="00A8305D">
              <w:rPr>
                <w:rFonts w:cs="Arial"/>
                <w:noProof/>
              </w:rPr>
              <w:t xml:space="preserve">(Heuberger </w:t>
            </w:r>
            <w:r w:rsidRPr="00A8305D">
              <w:rPr>
                <w:rFonts w:cs="Arial"/>
                <w:i/>
                <w:noProof/>
              </w:rPr>
              <w:t>et al</w:t>
            </w:r>
            <w:r w:rsidRPr="00A8305D">
              <w:rPr>
                <w:rFonts w:cs="Arial"/>
                <w:noProof/>
              </w:rPr>
              <w:t>, 2014)</w:t>
            </w:r>
            <w:r w:rsidRPr="00A207FB">
              <w:rPr>
                <w:rFonts w:cs="Arial"/>
              </w:rPr>
              <w:fldChar w:fldCharType="end"/>
            </w:r>
          </w:p>
        </w:tc>
        <w:tc>
          <w:tcPr>
            <w:tcW w:w="1024" w:type="dxa"/>
            <w:vAlign w:val="center"/>
          </w:tcPr>
          <w:p w14:paraId="11008AC9" w14:textId="77777777" w:rsidR="004C4E96" w:rsidRPr="00A207FB" w:rsidRDefault="004C4E96" w:rsidP="00FF28FE">
            <w:pPr>
              <w:contextualSpacing/>
              <w:jc w:val="left"/>
              <w:rPr>
                <w:rFonts w:eastAsia="Times New Roman" w:cs="Arial"/>
                <w:lang w:eastAsia="en-GB"/>
              </w:rPr>
            </w:pPr>
            <w:r w:rsidRPr="00A207FB">
              <w:rPr>
                <w:rFonts w:eastAsia="Times New Roman" w:cs="Arial"/>
                <w:lang w:eastAsia="en-GB"/>
              </w:rPr>
              <w:t>mouse</w:t>
            </w:r>
          </w:p>
        </w:tc>
        <w:tc>
          <w:tcPr>
            <w:tcW w:w="4347" w:type="dxa"/>
            <w:vAlign w:val="center"/>
          </w:tcPr>
          <w:p w14:paraId="5CD8FFE2" w14:textId="77777777" w:rsidR="004C4E96" w:rsidRPr="00A207FB" w:rsidRDefault="004C4E96" w:rsidP="00FF28FE">
            <w:pPr>
              <w:contextualSpacing/>
              <w:jc w:val="left"/>
              <w:rPr>
                <w:rFonts w:cs="Arial"/>
                <w:color w:val="000000"/>
              </w:rPr>
            </w:pPr>
            <w:r w:rsidRPr="00A207FB">
              <w:rPr>
                <w:rFonts w:cs="Arial"/>
                <w:color w:val="000000"/>
              </w:rPr>
              <w:t>ACCACAATGTTGATGCCAGACTCG</w:t>
            </w:r>
          </w:p>
        </w:tc>
      </w:tr>
      <w:tr w:rsidR="004C4E96" w:rsidRPr="009F5AB4" w14:paraId="0FCD4C5C"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483E26F8" w14:textId="77777777" w:rsidR="004C4E96" w:rsidRPr="004372AF" w:rsidRDefault="004C4E96" w:rsidP="00FF28FE">
            <w:pPr>
              <w:contextualSpacing/>
              <w:jc w:val="left"/>
              <w:rPr>
                <w:rFonts w:cs="Arial"/>
              </w:rPr>
            </w:pPr>
            <w:r w:rsidRPr="004372AF">
              <w:rPr>
                <w:rFonts w:cs="Arial"/>
              </w:rPr>
              <w:lastRenderedPageBreak/>
              <w:t>Neurog3_fwd</w:t>
            </w:r>
          </w:p>
        </w:tc>
        <w:tc>
          <w:tcPr>
            <w:tcW w:w="1024" w:type="dxa"/>
            <w:vAlign w:val="center"/>
          </w:tcPr>
          <w:p w14:paraId="1369D8E7"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5EB2E378"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ACGCAATTTACTCCAGGCGA</w:t>
            </w:r>
          </w:p>
        </w:tc>
      </w:tr>
      <w:tr w:rsidR="004C4E96" w:rsidRPr="009F5AB4" w14:paraId="476F86F3" w14:textId="77777777" w:rsidTr="00FF28FE">
        <w:trPr>
          <w:gridAfter w:val="1"/>
        </w:trPr>
        <w:tc>
          <w:tcPr>
            <w:tcW w:w="3649" w:type="dxa"/>
            <w:vAlign w:val="center"/>
          </w:tcPr>
          <w:p w14:paraId="51F73020" w14:textId="77777777" w:rsidR="004C4E96" w:rsidRPr="004372AF" w:rsidRDefault="004C4E96" w:rsidP="00FF28FE">
            <w:pPr>
              <w:contextualSpacing/>
              <w:jc w:val="left"/>
              <w:rPr>
                <w:rFonts w:cs="Arial"/>
              </w:rPr>
            </w:pPr>
            <w:r w:rsidRPr="004372AF">
              <w:rPr>
                <w:rFonts w:cs="Arial"/>
              </w:rPr>
              <w:t>Neurog3_rev</w:t>
            </w:r>
          </w:p>
        </w:tc>
        <w:tc>
          <w:tcPr>
            <w:tcW w:w="1024" w:type="dxa"/>
            <w:vAlign w:val="center"/>
          </w:tcPr>
          <w:p w14:paraId="12FE1923"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39172191"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GAGGCGCCATCCTAGTTCTC</w:t>
            </w:r>
          </w:p>
        </w:tc>
      </w:tr>
      <w:tr w:rsidR="004C4E96" w:rsidRPr="00A207FB" w14:paraId="01DF9870"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1C98F8DD" w14:textId="77777777" w:rsidR="004C4E96" w:rsidRPr="001A206E" w:rsidRDefault="004C4E96" w:rsidP="00FF28FE">
            <w:pPr>
              <w:contextualSpacing/>
              <w:jc w:val="left"/>
              <w:rPr>
                <w:rFonts w:cs="Arial"/>
              </w:rPr>
            </w:pPr>
            <w:r w:rsidRPr="001A206E">
              <w:rPr>
                <w:rFonts w:cs="Arial"/>
              </w:rPr>
              <w:t xml:space="preserve">Spdef_fwd </w:t>
            </w:r>
            <w:r w:rsidRPr="004372AF">
              <w:rPr>
                <w:rFonts w:cs="Arial"/>
              </w:rPr>
              <w:fldChar w:fldCharType="begin" w:fldLock="1"/>
            </w:r>
            <w:r w:rsidRPr="001A206E">
              <w:rPr>
                <w:rFonts w:cs="Arial"/>
              </w:rPr>
              <w:instrText>ADDIN CSL_CITATION {"citationItems":[{"id":"ITEM-1","itemData":{"DOI":"10.1073/pnas.1309342111","ISSN":"1091-6490 (Electronic)\r0027-8424 (Linking)","PMID":"24550486","abstract":"In the development of the mammalian intestine, Notch and Wnt/beta-catenin signals control stem cell maintenance and their differentiation into absorptive and secretory cells. Mechanisms that regulate differentiation of progenitors into the three secretory lineages, goblet, paneth, or enteroendocrine cells, are not fully understood. Using conditional mutagenesis in mice, we observed that Shp2-mediated MAPK signaling determines the choice between paneth and goblet cell fates and also affects stem cells, which express the leucine-rich repeat-containing receptor 5 (Lgr5). Ablation of the tyrosine phosphatase Shp2 in the intestinal epithelium reduced MAPK signaling and led to a reduction of goblet cells while promoting paneth cell development. Conversely, conditional mitogen-activated protein kinase kinase 1 (Mek1) activation rescued the Shp2 phenotype, promoted goblet cell and inhibited paneth cell generation. The Shp2 mutation also expanded Lgr5+ stem cell niches, which could be restricted by activated Mek1 signaling. Changes of Lgr5+ stem cell quantities were accompanied by alterations of paneth cells, indicating that Shp2/MAPK signaling might affect stem cell niches directly or via paneth cells. Remarkably, inhibition of MAPK signaling in intestinal organoids and cultured cells changed the relative abundance of Tcf4 isoforms and by this, promoted Wnt/beta-catenin activity. The data thus show that Shp2-mediated MAPK signaling controls the choice between goblet and paneth cell fates by regulating Wnt/beta-catenin activity.","author":[{"dropping-particle":"","family":"Heuberger","given":"J","non-dropping-particle":"","parse-names":false,"suffix":""},{"dropping-particle":"","family":"Kosel","given":"F","non-dropping-particle":"","parse-names":false,"suffix":""},{"dropping-particle":"","family":"Qi","given":"J","non-dropping-particle":"","parse-names":false,"suffix":""},{"dropping-particle":"","family":"Grossmann","given":"K S","non-dropping-particle":"","parse-names":false,"suffix":""},{"dropping-particle":"","family":"Rajewsky","given":"K","non-dropping-particle":"","parse-names":false,"suffix":""},{"dropping-particle":"","family":"Birchmeier","given":"W","non-dropping-particle":"","parse-names":false,"suffix":""}],"container-title":"Proc Natl Acad Sci U S A","id":"ITEM-1","issue":"9","issued":{"date-parts":[["2014"]]},"note":"Heuberger, Julian\rKosel, Frauke\rQi, Jingjing\rGrossmann, Katja S\rRajewsky, Klaus\rBirchmeier, Walter\reng\rResearch Support, Non-U.S. Gov't\r2014/02/20 06:00\rProc Natl Acad Sci U S A. 2014 Mar 4;111(9):3472-7. doi: 10.1073/pnas.1309342111. Epub 2014 Feb 18.","page":"3472-3477","title":"Shp2/MAPK signaling controls goblet/paneth cell fate decisions in the intestine","type":"article-journal","volume":"111"},"uris":["http://www.mendeley.com/documents/?uuid=1bd3f7a1-25ca-347d-8a95-40643d93549e"]}],"mendeley":{"formattedCitation":"(Heuberger &lt;i&gt;et al&lt;/i&gt;, 2014)","plainTextFormattedCitation":"(Heuberger et al, 2014)","previouslyFormattedCitation":"(Heuberger &lt;i&gt;et al&lt;/i&gt;, 2014)"},"properties":{"noteIndex":0},"schema":"https://github.com/citation-style-language/schema/raw/master/csl-citation.json"}</w:instrText>
            </w:r>
            <w:r w:rsidRPr="004372AF">
              <w:rPr>
                <w:rFonts w:cs="Arial"/>
              </w:rPr>
              <w:fldChar w:fldCharType="separate"/>
            </w:r>
            <w:r w:rsidRPr="001A206E">
              <w:rPr>
                <w:rFonts w:cs="Arial"/>
                <w:noProof/>
              </w:rPr>
              <w:t xml:space="preserve">(Heuberger </w:t>
            </w:r>
            <w:r w:rsidRPr="001A206E">
              <w:rPr>
                <w:rFonts w:cs="Arial"/>
                <w:i/>
                <w:noProof/>
              </w:rPr>
              <w:t>et al</w:t>
            </w:r>
            <w:r w:rsidRPr="001A206E">
              <w:rPr>
                <w:rFonts w:cs="Arial"/>
                <w:noProof/>
              </w:rPr>
              <w:t>, 2014)</w:t>
            </w:r>
            <w:r w:rsidRPr="004372AF">
              <w:rPr>
                <w:rFonts w:cs="Arial"/>
              </w:rPr>
              <w:fldChar w:fldCharType="end"/>
            </w:r>
          </w:p>
        </w:tc>
        <w:tc>
          <w:tcPr>
            <w:tcW w:w="1024" w:type="dxa"/>
            <w:vAlign w:val="center"/>
          </w:tcPr>
          <w:p w14:paraId="338FEEEF"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33CE0697" w14:textId="77777777" w:rsidR="004C4E96" w:rsidRPr="004372AF" w:rsidRDefault="004C4E96" w:rsidP="00FF28FE">
            <w:pPr>
              <w:contextualSpacing/>
              <w:jc w:val="left"/>
              <w:rPr>
                <w:rFonts w:eastAsia="Times New Roman" w:cs="Arial"/>
                <w:lang w:eastAsia="en-GB"/>
              </w:rPr>
            </w:pPr>
            <w:r w:rsidRPr="004372AF">
              <w:rPr>
                <w:rFonts w:cs="Arial"/>
                <w:color w:val="000000"/>
              </w:rPr>
              <w:t>AACATGTATCCCGACGATAGCAGC</w:t>
            </w:r>
          </w:p>
        </w:tc>
      </w:tr>
      <w:tr w:rsidR="004C4E96" w:rsidRPr="009F5AB4" w14:paraId="292B6F1E" w14:textId="77777777" w:rsidTr="00FF28FE">
        <w:trPr>
          <w:gridAfter w:val="1"/>
        </w:trPr>
        <w:tc>
          <w:tcPr>
            <w:tcW w:w="3649" w:type="dxa"/>
            <w:vAlign w:val="center"/>
          </w:tcPr>
          <w:p w14:paraId="79E7C265" w14:textId="77777777" w:rsidR="004C4E96" w:rsidRPr="004372AF" w:rsidRDefault="004C4E96" w:rsidP="00FF28FE">
            <w:pPr>
              <w:contextualSpacing/>
              <w:jc w:val="left"/>
              <w:rPr>
                <w:rFonts w:cs="Arial"/>
              </w:rPr>
            </w:pPr>
            <w:r w:rsidRPr="004372AF">
              <w:rPr>
                <w:rFonts w:cs="Arial"/>
              </w:rPr>
              <w:t>Spdef_rev</w:t>
            </w:r>
            <w:r>
              <w:rPr>
                <w:rFonts w:cs="Arial"/>
              </w:rPr>
              <w:t xml:space="preserve"> </w:t>
            </w:r>
            <w:r w:rsidRPr="004372AF">
              <w:rPr>
                <w:rFonts w:cs="Arial"/>
              </w:rPr>
              <w:fldChar w:fldCharType="begin" w:fldLock="1"/>
            </w:r>
            <w:r>
              <w:rPr>
                <w:rFonts w:cs="Arial"/>
              </w:rPr>
              <w:instrText>ADDIN CSL_CITATION {"citationItems":[{"id":"ITEM-1","itemData":{"DOI":"10.1073/pnas.1309342111","ISSN":"1091-6490 (Electronic)\r0027-8424 (Linking)","PMID":"24550486","abstract":"In the development of the mammalian intestine, Notch and Wnt/beta-catenin signals control stem cell maintenance and their differentiation into absorptive and secretory cells. Mechanisms that regulate differentiation of progenitors into the three secretory lineages, goblet, paneth, or enteroendocrine cells, are not fully understood. Using conditional mutagenesis in mice, we observed that Shp2-mediated MAPK signaling determines the choice between paneth and goblet cell fates and also affects stem cells, which express the leucine-rich repeat-containing receptor 5 (Lgr5). Ablation of the tyrosine phosphatase Shp2 in the intestinal epithelium reduced MAPK signaling and led to a reduction of goblet cells while promoting paneth cell development. Conversely, conditional mitogen-activated protein kinase kinase 1 (Mek1) activation rescued the Shp2 phenotype, promoted goblet cell and inhibited paneth cell generation. The Shp2 mutation also expanded Lgr5+ stem cell niches, which could be restricted by activated Mek1 signaling. Changes of Lgr5+ stem cell quantities were accompanied by alterations of paneth cells, indicating that Shp2/MAPK signaling might affect stem cell niches directly or via paneth cells. Remarkably, inhibition of MAPK signaling in intestinal organoids and cultured cells changed the relative abundance of Tcf4 isoforms and by this, promoted Wnt/beta-catenin activity. The data thus show that Shp2-mediated MAPK signaling controls the choice between goblet and paneth cell fates by regulating Wnt/beta-catenin activity.","author":[{"dropping-particle":"","family":"Heuberger","given":"J","non-dropping-particle":"","parse-names":false,"suffix":""},{"dropping-particle":"","family":"Kosel","given":"F","non-dropping-particle":"","parse-names":false,"suffix":""},{"dropping-particle":"","family":"Qi","given":"J","non-dropping-particle":"","parse-names":false,"suffix":""},{"dropping-particle":"","family":"Grossmann","given":"K S","non-dropping-particle":"","parse-names":false,"suffix":""},{"dropping-particle":"","family":"Rajewsky","given":"K","non-dropping-particle":"","parse-names":false,"suffix":""},{"dropping-particle":"","family":"Birchmeier","given":"W","non-dropping-particle":"","parse-names":false,"suffix":""}],"container-title":"Proc Natl Acad Sci U S A","id":"ITEM-1","issue":"9","issued":{"date-parts":[["2014"]]},"note":"Heuberger, Julian\rKosel, Frauke\rQi, Jingjing\rGrossmann, Katja S\rRajewsky, Klaus\rBirchmeier, Walter\reng\rResearch Support, Non-U.S. Gov't\r2014/02/20 06:00\rProc Natl Acad Sci U S A. 2014 Mar 4;111(9):3472-7. doi: 10.1073/pnas.1309342111. Epub 2014 Feb 18.","page":"3472-3477","title":"Shp2/MAPK signaling controls goblet/paneth cell fate decisions in the intestine","type":"article-journal","volume":"111"},"uris":["http://www.mendeley.com/documents/?uuid=1bd3f7a1-25ca-347d-8a95-40643d93549e"]}],"mendeley":{"formattedCitation":"(Heuberger &lt;i&gt;et al&lt;/i&gt;, 2014)","plainTextFormattedCitation":"(Heuberger et al, 2014)","previouslyFormattedCitation":"(Heuberger &lt;i&gt;et al&lt;/i&gt;, 2014)"},"properties":{"noteIndex":0},"schema":"https://github.com/citation-style-language/schema/raw/master/csl-citation.json"}</w:instrText>
            </w:r>
            <w:r w:rsidRPr="004372AF">
              <w:rPr>
                <w:rFonts w:cs="Arial"/>
              </w:rPr>
              <w:fldChar w:fldCharType="separate"/>
            </w:r>
            <w:r w:rsidRPr="00A8305D">
              <w:rPr>
                <w:rFonts w:cs="Arial"/>
                <w:noProof/>
              </w:rPr>
              <w:t xml:space="preserve">(Heuberger </w:t>
            </w:r>
            <w:r w:rsidRPr="00A8305D">
              <w:rPr>
                <w:rFonts w:cs="Arial"/>
                <w:i/>
                <w:noProof/>
              </w:rPr>
              <w:t>et al</w:t>
            </w:r>
            <w:r w:rsidRPr="00A8305D">
              <w:rPr>
                <w:rFonts w:cs="Arial"/>
                <w:noProof/>
              </w:rPr>
              <w:t>, 2014)</w:t>
            </w:r>
            <w:r w:rsidRPr="004372AF">
              <w:rPr>
                <w:rFonts w:cs="Arial"/>
              </w:rPr>
              <w:fldChar w:fldCharType="end"/>
            </w:r>
          </w:p>
        </w:tc>
        <w:tc>
          <w:tcPr>
            <w:tcW w:w="1024" w:type="dxa"/>
            <w:vAlign w:val="center"/>
          </w:tcPr>
          <w:p w14:paraId="4B19A85C" w14:textId="77777777" w:rsidR="004C4E96" w:rsidRPr="004372AF" w:rsidRDefault="004C4E96" w:rsidP="00FF28FE">
            <w:pPr>
              <w:contextualSpacing/>
              <w:jc w:val="left"/>
              <w:rPr>
                <w:rFonts w:eastAsia="Times New Roman" w:cs="Arial"/>
                <w:lang w:eastAsia="en-GB"/>
              </w:rPr>
            </w:pPr>
            <w:r w:rsidRPr="004372AF">
              <w:rPr>
                <w:rFonts w:eastAsia="Times New Roman" w:cs="Arial"/>
                <w:lang w:eastAsia="en-GB"/>
              </w:rPr>
              <w:t>mouse</w:t>
            </w:r>
          </w:p>
        </w:tc>
        <w:tc>
          <w:tcPr>
            <w:tcW w:w="4347" w:type="dxa"/>
            <w:vAlign w:val="center"/>
          </w:tcPr>
          <w:p w14:paraId="325CB228" w14:textId="77777777" w:rsidR="004C4E96" w:rsidRPr="004372AF" w:rsidRDefault="004C4E96" w:rsidP="00FF28FE">
            <w:pPr>
              <w:contextualSpacing/>
              <w:jc w:val="left"/>
              <w:rPr>
                <w:rFonts w:eastAsia="Times New Roman" w:cs="Arial"/>
                <w:lang w:eastAsia="en-GB"/>
              </w:rPr>
            </w:pPr>
            <w:r w:rsidRPr="004372AF">
              <w:rPr>
                <w:rFonts w:cs="Arial"/>
                <w:color w:val="000000"/>
              </w:rPr>
              <w:t>TCAATATCTTTCAGGACCTCGCCC</w:t>
            </w:r>
          </w:p>
        </w:tc>
      </w:tr>
      <w:tr w:rsidR="004C4E96" w:rsidRPr="009F5AB4" w14:paraId="7A35D86D"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0252896D" w14:textId="77777777" w:rsidR="004C4E96" w:rsidRPr="005253EC" w:rsidRDefault="004C4E96" w:rsidP="00FF28FE">
            <w:pPr>
              <w:contextualSpacing/>
              <w:jc w:val="left"/>
              <w:rPr>
                <w:rFonts w:cs="Arial"/>
                <w:color w:val="000000" w:themeColor="text1"/>
              </w:rPr>
            </w:pPr>
            <w:r w:rsidRPr="005253EC">
              <w:rPr>
                <w:rFonts w:cs="Arial"/>
                <w:color w:val="000000" w:themeColor="text1"/>
              </w:rPr>
              <w:t>Syp_fwd</w:t>
            </w:r>
          </w:p>
        </w:tc>
        <w:tc>
          <w:tcPr>
            <w:tcW w:w="1024" w:type="dxa"/>
            <w:vAlign w:val="center"/>
          </w:tcPr>
          <w:p w14:paraId="336EBE90" w14:textId="77777777" w:rsidR="004C4E96" w:rsidRPr="005253EC" w:rsidRDefault="004C4E96" w:rsidP="00FF28FE">
            <w:pPr>
              <w:contextualSpacing/>
              <w:jc w:val="left"/>
              <w:rPr>
                <w:rFonts w:eastAsia="Times New Roman" w:cs="Arial"/>
                <w:color w:val="000000" w:themeColor="text1"/>
                <w:lang w:eastAsia="en-GB"/>
              </w:rPr>
            </w:pPr>
            <w:r w:rsidRPr="005253EC">
              <w:rPr>
                <w:rFonts w:eastAsia="Times New Roman" w:cs="Arial"/>
                <w:color w:val="000000" w:themeColor="text1"/>
                <w:lang w:eastAsia="en-GB"/>
              </w:rPr>
              <w:t>mouse</w:t>
            </w:r>
          </w:p>
        </w:tc>
        <w:tc>
          <w:tcPr>
            <w:tcW w:w="4347" w:type="dxa"/>
            <w:vAlign w:val="center"/>
          </w:tcPr>
          <w:p w14:paraId="3A917B59" w14:textId="77777777" w:rsidR="004C4E96" w:rsidRPr="005253EC" w:rsidRDefault="004C4E96" w:rsidP="00FF28FE">
            <w:pPr>
              <w:contextualSpacing/>
              <w:jc w:val="left"/>
              <w:rPr>
                <w:rFonts w:eastAsia="Times New Roman" w:cs="Arial"/>
                <w:color w:val="000000" w:themeColor="text1"/>
                <w:lang w:eastAsia="en-GB"/>
              </w:rPr>
            </w:pPr>
            <w:r w:rsidRPr="005253EC">
              <w:rPr>
                <w:rFonts w:eastAsia="Times New Roman" w:cs="Arial"/>
                <w:color w:val="000000" w:themeColor="text1"/>
                <w:lang w:eastAsia="en-GB"/>
              </w:rPr>
              <w:t>TTGGCTTCGTGAAGGTGC</w:t>
            </w:r>
          </w:p>
        </w:tc>
      </w:tr>
      <w:tr w:rsidR="004C4E96" w:rsidRPr="009F5AB4" w14:paraId="5A115E48" w14:textId="77777777" w:rsidTr="00FF28FE">
        <w:trPr>
          <w:gridAfter w:val="1"/>
        </w:trPr>
        <w:tc>
          <w:tcPr>
            <w:tcW w:w="3649" w:type="dxa"/>
            <w:vAlign w:val="center"/>
          </w:tcPr>
          <w:p w14:paraId="7EBCB84B" w14:textId="77777777" w:rsidR="004C4E96" w:rsidRPr="005253EC" w:rsidRDefault="004C4E96" w:rsidP="00FF28FE">
            <w:pPr>
              <w:contextualSpacing/>
              <w:jc w:val="left"/>
              <w:rPr>
                <w:rFonts w:cs="Arial"/>
                <w:color w:val="000000" w:themeColor="text1"/>
              </w:rPr>
            </w:pPr>
            <w:r w:rsidRPr="005253EC">
              <w:rPr>
                <w:rFonts w:cs="Arial"/>
                <w:color w:val="000000" w:themeColor="text1"/>
              </w:rPr>
              <w:t>Syp_rev</w:t>
            </w:r>
          </w:p>
        </w:tc>
        <w:tc>
          <w:tcPr>
            <w:tcW w:w="1024" w:type="dxa"/>
            <w:vAlign w:val="center"/>
          </w:tcPr>
          <w:p w14:paraId="28F70843" w14:textId="77777777" w:rsidR="004C4E96" w:rsidRPr="005253EC" w:rsidRDefault="004C4E96" w:rsidP="00FF28FE">
            <w:pPr>
              <w:contextualSpacing/>
              <w:jc w:val="left"/>
              <w:rPr>
                <w:rFonts w:eastAsia="Times New Roman" w:cs="Arial"/>
                <w:color w:val="000000" w:themeColor="text1"/>
                <w:lang w:eastAsia="en-GB"/>
              </w:rPr>
            </w:pPr>
            <w:r w:rsidRPr="005253EC">
              <w:rPr>
                <w:rFonts w:eastAsia="Times New Roman" w:cs="Arial"/>
                <w:color w:val="000000" w:themeColor="text1"/>
                <w:lang w:eastAsia="en-GB"/>
              </w:rPr>
              <w:t>mouse</w:t>
            </w:r>
          </w:p>
        </w:tc>
        <w:tc>
          <w:tcPr>
            <w:tcW w:w="4347" w:type="dxa"/>
            <w:vAlign w:val="center"/>
          </w:tcPr>
          <w:p w14:paraId="2804C54A" w14:textId="77777777" w:rsidR="004C4E96" w:rsidRPr="005253EC" w:rsidRDefault="004C4E96" w:rsidP="00FF28FE">
            <w:pPr>
              <w:contextualSpacing/>
              <w:jc w:val="left"/>
              <w:rPr>
                <w:rFonts w:eastAsia="Times New Roman" w:cs="Arial"/>
                <w:color w:val="000000" w:themeColor="text1"/>
                <w:lang w:eastAsia="en-GB"/>
              </w:rPr>
            </w:pPr>
            <w:r w:rsidRPr="005253EC">
              <w:rPr>
                <w:rFonts w:eastAsia="Times New Roman" w:cs="Arial"/>
                <w:color w:val="000000" w:themeColor="text1"/>
                <w:lang w:eastAsia="en-GB"/>
              </w:rPr>
              <w:t>CTGCCGCACGTAGCAAAG</w:t>
            </w:r>
          </w:p>
        </w:tc>
      </w:tr>
      <w:tr w:rsidR="004C4E96" w:rsidRPr="009F5AB4" w14:paraId="6042B832"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675AC50C" w14:textId="77777777" w:rsidR="004C4E96" w:rsidRPr="005253EC" w:rsidRDefault="004C4E96" w:rsidP="00FF28FE">
            <w:pPr>
              <w:contextualSpacing/>
              <w:jc w:val="left"/>
              <w:rPr>
                <w:rFonts w:cs="Arial"/>
                <w:color w:val="000000" w:themeColor="text1"/>
              </w:rPr>
            </w:pPr>
            <w:r>
              <w:rPr>
                <w:rFonts w:cs="Arial"/>
                <w:color w:val="000000" w:themeColor="text1"/>
              </w:rPr>
              <w:t>MATH</w:t>
            </w:r>
            <w:r w:rsidRPr="005253EC">
              <w:rPr>
                <w:rFonts w:cs="Arial"/>
                <w:color w:val="000000" w:themeColor="text1"/>
              </w:rPr>
              <w:t>1_fwd</w:t>
            </w:r>
          </w:p>
        </w:tc>
        <w:tc>
          <w:tcPr>
            <w:tcW w:w="1024" w:type="dxa"/>
            <w:vAlign w:val="center"/>
          </w:tcPr>
          <w:p w14:paraId="204655D9" w14:textId="77777777" w:rsidR="004C4E96" w:rsidRPr="005253EC" w:rsidRDefault="004C4E96" w:rsidP="00FF28FE">
            <w:pPr>
              <w:contextualSpacing/>
              <w:jc w:val="left"/>
              <w:rPr>
                <w:rFonts w:eastAsia="Times New Roman" w:cs="Arial"/>
                <w:color w:val="000000" w:themeColor="text1"/>
                <w:lang w:eastAsia="en-GB"/>
              </w:rPr>
            </w:pPr>
            <w:r w:rsidRPr="005253EC">
              <w:rPr>
                <w:rFonts w:cs="Arial"/>
                <w:color w:val="000000" w:themeColor="text1"/>
              </w:rPr>
              <w:t>human</w:t>
            </w:r>
          </w:p>
        </w:tc>
        <w:tc>
          <w:tcPr>
            <w:tcW w:w="4347" w:type="dxa"/>
            <w:vAlign w:val="center"/>
          </w:tcPr>
          <w:p w14:paraId="45581C4E" w14:textId="77777777" w:rsidR="004C4E96" w:rsidRPr="005253EC" w:rsidRDefault="004C4E96" w:rsidP="00FF28FE">
            <w:pPr>
              <w:contextualSpacing/>
              <w:jc w:val="left"/>
              <w:rPr>
                <w:rFonts w:eastAsia="Times New Roman" w:cs="Arial"/>
                <w:color w:val="000000" w:themeColor="text1"/>
                <w:lang w:eastAsia="en-GB"/>
              </w:rPr>
            </w:pPr>
            <w:r w:rsidRPr="005253EC">
              <w:rPr>
                <w:rFonts w:cs="Arial"/>
                <w:color w:val="000000" w:themeColor="text1"/>
              </w:rPr>
              <w:t>CAGCTGCGCAATGTTATCCC</w:t>
            </w:r>
          </w:p>
        </w:tc>
      </w:tr>
      <w:tr w:rsidR="004C4E96" w:rsidRPr="009F5AB4" w14:paraId="552DDB66" w14:textId="77777777" w:rsidTr="00FF28FE">
        <w:trPr>
          <w:gridAfter w:val="1"/>
        </w:trPr>
        <w:tc>
          <w:tcPr>
            <w:tcW w:w="3649" w:type="dxa"/>
            <w:vAlign w:val="center"/>
          </w:tcPr>
          <w:p w14:paraId="7AA14A86" w14:textId="77777777" w:rsidR="004C4E96" w:rsidRPr="005253EC" w:rsidRDefault="004C4E96" w:rsidP="00FF28FE">
            <w:pPr>
              <w:contextualSpacing/>
              <w:jc w:val="left"/>
              <w:rPr>
                <w:rFonts w:cs="Arial"/>
                <w:color w:val="000000" w:themeColor="text1"/>
              </w:rPr>
            </w:pPr>
            <w:r>
              <w:rPr>
                <w:rFonts w:cs="Arial"/>
                <w:color w:val="000000" w:themeColor="text1"/>
              </w:rPr>
              <w:t>MATH</w:t>
            </w:r>
            <w:r w:rsidRPr="005253EC">
              <w:rPr>
                <w:rFonts w:cs="Arial"/>
                <w:color w:val="000000" w:themeColor="text1"/>
              </w:rPr>
              <w:t>1_rev</w:t>
            </w:r>
          </w:p>
        </w:tc>
        <w:tc>
          <w:tcPr>
            <w:tcW w:w="1024" w:type="dxa"/>
            <w:vAlign w:val="center"/>
          </w:tcPr>
          <w:p w14:paraId="18B4FA42" w14:textId="77777777" w:rsidR="004C4E96" w:rsidRPr="005253EC" w:rsidRDefault="004C4E96" w:rsidP="00FF28FE">
            <w:pPr>
              <w:contextualSpacing/>
              <w:jc w:val="left"/>
              <w:rPr>
                <w:rFonts w:eastAsia="Times New Roman" w:cs="Arial"/>
                <w:color w:val="000000" w:themeColor="text1"/>
                <w:lang w:eastAsia="en-GB"/>
              </w:rPr>
            </w:pPr>
            <w:r w:rsidRPr="005253EC">
              <w:rPr>
                <w:rFonts w:cs="Arial"/>
                <w:color w:val="000000" w:themeColor="text1"/>
              </w:rPr>
              <w:t>human</w:t>
            </w:r>
          </w:p>
        </w:tc>
        <w:tc>
          <w:tcPr>
            <w:tcW w:w="4347" w:type="dxa"/>
            <w:vAlign w:val="center"/>
          </w:tcPr>
          <w:p w14:paraId="71F167F3" w14:textId="77777777" w:rsidR="004C4E96" w:rsidRPr="005253EC" w:rsidRDefault="004C4E96" w:rsidP="00FF28FE">
            <w:pPr>
              <w:contextualSpacing/>
              <w:jc w:val="left"/>
              <w:rPr>
                <w:rFonts w:eastAsia="Times New Roman" w:cs="Arial"/>
                <w:color w:val="000000" w:themeColor="text1"/>
                <w:lang w:eastAsia="en-GB"/>
              </w:rPr>
            </w:pPr>
            <w:r w:rsidRPr="005253EC">
              <w:rPr>
                <w:rFonts w:cs="Arial"/>
                <w:color w:val="000000" w:themeColor="text1"/>
              </w:rPr>
              <w:t>TTGTAGCAGCTCGGACAAGG</w:t>
            </w:r>
          </w:p>
        </w:tc>
      </w:tr>
      <w:tr w:rsidR="004C4E96" w:rsidRPr="009F5AB4" w14:paraId="22BF2BAD"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5B46B74A" w14:textId="77777777" w:rsidR="004C4E96" w:rsidRPr="005253EC" w:rsidRDefault="004C4E96" w:rsidP="00FF28FE">
            <w:pPr>
              <w:contextualSpacing/>
              <w:jc w:val="left"/>
              <w:rPr>
                <w:rFonts w:cs="Arial"/>
                <w:color w:val="000000" w:themeColor="text1"/>
              </w:rPr>
            </w:pPr>
            <w:r w:rsidRPr="005253EC">
              <w:rPr>
                <w:rFonts w:cs="Arial"/>
                <w:color w:val="000000" w:themeColor="text1"/>
              </w:rPr>
              <w:t>GAPDH_fwd</w:t>
            </w:r>
          </w:p>
        </w:tc>
        <w:tc>
          <w:tcPr>
            <w:tcW w:w="1024" w:type="dxa"/>
            <w:vAlign w:val="center"/>
          </w:tcPr>
          <w:p w14:paraId="42F2668D" w14:textId="77777777" w:rsidR="004C4E96" w:rsidRPr="005253EC" w:rsidRDefault="004C4E96" w:rsidP="00FF28FE">
            <w:pPr>
              <w:contextualSpacing/>
              <w:jc w:val="left"/>
              <w:rPr>
                <w:rFonts w:eastAsia="Times New Roman" w:cs="Arial"/>
                <w:color w:val="000000" w:themeColor="text1"/>
                <w:lang w:eastAsia="en-GB"/>
              </w:rPr>
            </w:pPr>
            <w:r w:rsidRPr="005253EC">
              <w:rPr>
                <w:rFonts w:eastAsia="Times New Roman" w:cs="Arial"/>
                <w:color w:val="000000" w:themeColor="text1"/>
                <w:lang w:eastAsia="en-GB"/>
              </w:rPr>
              <w:t>human</w:t>
            </w:r>
          </w:p>
        </w:tc>
        <w:tc>
          <w:tcPr>
            <w:tcW w:w="4347" w:type="dxa"/>
            <w:vAlign w:val="center"/>
          </w:tcPr>
          <w:p w14:paraId="685512CD" w14:textId="77777777" w:rsidR="004C4E96" w:rsidRPr="005253EC" w:rsidRDefault="004C4E96" w:rsidP="00FF28FE">
            <w:pPr>
              <w:contextualSpacing/>
              <w:jc w:val="left"/>
              <w:rPr>
                <w:rFonts w:eastAsia="Times New Roman" w:cs="Arial"/>
                <w:color w:val="000000" w:themeColor="text1"/>
                <w:lang w:eastAsia="en-GB"/>
              </w:rPr>
            </w:pPr>
            <w:r w:rsidRPr="005253EC">
              <w:rPr>
                <w:rFonts w:cs="Arial"/>
                <w:color w:val="000000" w:themeColor="text1"/>
              </w:rPr>
              <w:t>AAGGTGAAGGTCGGAGTCAA</w:t>
            </w:r>
          </w:p>
        </w:tc>
      </w:tr>
      <w:tr w:rsidR="004C4E96" w:rsidRPr="009F5AB4" w14:paraId="638B12A7" w14:textId="77777777" w:rsidTr="00FF28FE">
        <w:trPr>
          <w:gridAfter w:val="1"/>
        </w:trPr>
        <w:tc>
          <w:tcPr>
            <w:tcW w:w="3649" w:type="dxa"/>
            <w:vAlign w:val="center"/>
          </w:tcPr>
          <w:p w14:paraId="1AFB403A" w14:textId="77777777" w:rsidR="004C4E96" w:rsidRPr="004372AF" w:rsidRDefault="004C4E96" w:rsidP="00FF28FE">
            <w:pPr>
              <w:contextualSpacing/>
              <w:jc w:val="left"/>
              <w:rPr>
                <w:rFonts w:cs="Arial"/>
              </w:rPr>
            </w:pPr>
            <w:r w:rsidRPr="00A207FB">
              <w:rPr>
                <w:rFonts w:cs="Arial"/>
              </w:rPr>
              <w:t>GAPDH_rev</w:t>
            </w:r>
          </w:p>
        </w:tc>
        <w:tc>
          <w:tcPr>
            <w:tcW w:w="1024" w:type="dxa"/>
            <w:vAlign w:val="center"/>
          </w:tcPr>
          <w:p w14:paraId="33DBA346" w14:textId="77777777" w:rsidR="004C4E96" w:rsidRPr="004372AF" w:rsidRDefault="004C4E96" w:rsidP="00FF28FE">
            <w:pPr>
              <w:contextualSpacing/>
              <w:jc w:val="left"/>
              <w:rPr>
                <w:rFonts w:eastAsia="Times New Roman" w:cs="Arial"/>
                <w:lang w:eastAsia="en-GB"/>
              </w:rPr>
            </w:pPr>
            <w:r w:rsidRPr="00A207FB">
              <w:rPr>
                <w:rFonts w:eastAsia="Times New Roman" w:cs="Arial"/>
                <w:lang w:eastAsia="en-GB"/>
              </w:rPr>
              <w:t>human</w:t>
            </w:r>
          </w:p>
        </w:tc>
        <w:tc>
          <w:tcPr>
            <w:tcW w:w="4347" w:type="dxa"/>
            <w:vAlign w:val="center"/>
          </w:tcPr>
          <w:p w14:paraId="0C1382BC" w14:textId="77777777" w:rsidR="004C4E96" w:rsidRPr="005253EC" w:rsidRDefault="004C4E96" w:rsidP="00FF28FE">
            <w:pPr>
              <w:contextualSpacing/>
              <w:jc w:val="left"/>
              <w:rPr>
                <w:rFonts w:eastAsia="Times New Roman" w:cs="Arial"/>
                <w:lang w:eastAsia="en-GB"/>
              </w:rPr>
            </w:pPr>
            <w:r w:rsidRPr="005253EC">
              <w:rPr>
                <w:rFonts w:cs="Arial"/>
              </w:rPr>
              <w:t>AATGAAGGGGTCATTGATGG</w:t>
            </w:r>
          </w:p>
        </w:tc>
      </w:tr>
      <w:tr w:rsidR="004C4E96" w:rsidRPr="009F5AB4" w14:paraId="1253174B" w14:textId="77777777" w:rsidTr="00FF28FE">
        <w:trPr>
          <w:gridAfter w:val="1"/>
          <w:cnfStyle w:val="000000100000" w:firstRow="0" w:lastRow="0" w:firstColumn="0" w:lastColumn="0" w:oddVBand="0" w:evenVBand="0" w:oddHBand="1" w:evenHBand="0" w:firstRowFirstColumn="0" w:firstRowLastColumn="0" w:lastRowFirstColumn="0" w:lastRowLastColumn="0"/>
        </w:trPr>
        <w:tc>
          <w:tcPr>
            <w:tcW w:w="3649" w:type="dxa"/>
            <w:vAlign w:val="center"/>
          </w:tcPr>
          <w:p w14:paraId="69577EE3" w14:textId="77777777" w:rsidR="004C4E96" w:rsidRPr="004372AF" w:rsidRDefault="004C4E96" w:rsidP="00FF28FE">
            <w:pPr>
              <w:contextualSpacing/>
              <w:jc w:val="left"/>
              <w:rPr>
                <w:rFonts w:cs="Arial"/>
              </w:rPr>
            </w:pPr>
            <w:r w:rsidRPr="00A207FB">
              <w:rPr>
                <w:rFonts w:cs="Arial"/>
              </w:rPr>
              <w:t>GATA6_fwd</w:t>
            </w:r>
          </w:p>
        </w:tc>
        <w:tc>
          <w:tcPr>
            <w:tcW w:w="1024" w:type="dxa"/>
            <w:vAlign w:val="center"/>
          </w:tcPr>
          <w:p w14:paraId="5CABABB8" w14:textId="77777777" w:rsidR="004C4E96" w:rsidRPr="004372AF" w:rsidRDefault="004C4E96" w:rsidP="00FF28FE">
            <w:pPr>
              <w:contextualSpacing/>
              <w:jc w:val="left"/>
              <w:rPr>
                <w:rFonts w:eastAsia="Times New Roman" w:cs="Arial"/>
                <w:lang w:eastAsia="en-GB"/>
              </w:rPr>
            </w:pPr>
            <w:r w:rsidRPr="00A207FB">
              <w:rPr>
                <w:rFonts w:eastAsia="Times New Roman" w:cs="Arial"/>
                <w:lang w:eastAsia="en-GB"/>
              </w:rPr>
              <w:t>human</w:t>
            </w:r>
          </w:p>
        </w:tc>
        <w:tc>
          <w:tcPr>
            <w:tcW w:w="4347" w:type="dxa"/>
            <w:vAlign w:val="center"/>
          </w:tcPr>
          <w:p w14:paraId="40E7A934" w14:textId="77777777" w:rsidR="004C4E96" w:rsidRPr="004372AF" w:rsidRDefault="004C4E96" w:rsidP="00FF28FE">
            <w:pPr>
              <w:contextualSpacing/>
              <w:jc w:val="left"/>
              <w:rPr>
                <w:rFonts w:eastAsia="Times New Roman" w:cs="Arial"/>
                <w:lang w:eastAsia="en-GB"/>
              </w:rPr>
            </w:pPr>
            <w:r w:rsidRPr="00A207FB">
              <w:rPr>
                <w:rFonts w:cs="Arial"/>
              </w:rPr>
              <w:t>TGCCAACTGTCACACCACAA</w:t>
            </w:r>
          </w:p>
        </w:tc>
      </w:tr>
      <w:tr w:rsidR="004C4E96" w:rsidRPr="009F5AB4" w14:paraId="4BA1C327" w14:textId="77777777" w:rsidTr="00FF28FE">
        <w:trPr>
          <w:gridAfter w:val="1"/>
        </w:trPr>
        <w:tc>
          <w:tcPr>
            <w:tcW w:w="3649" w:type="dxa"/>
            <w:vAlign w:val="center"/>
          </w:tcPr>
          <w:p w14:paraId="18B16533" w14:textId="77777777" w:rsidR="004C4E96" w:rsidRPr="004372AF" w:rsidRDefault="004C4E96" w:rsidP="00FF28FE">
            <w:pPr>
              <w:contextualSpacing/>
              <w:jc w:val="left"/>
              <w:rPr>
                <w:rFonts w:cs="Arial"/>
              </w:rPr>
            </w:pPr>
            <w:r w:rsidRPr="00A207FB">
              <w:rPr>
                <w:rFonts w:cs="Arial"/>
              </w:rPr>
              <w:t>GATA6_rev</w:t>
            </w:r>
          </w:p>
        </w:tc>
        <w:tc>
          <w:tcPr>
            <w:tcW w:w="1024" w:type="dxa"/>
            <w:vAlign w:val="center"/>
          </w:tcPr>
          <w:p w14:paraId="68841DE8" w14:textId="77777777" w:rsidR="004C4E96" w:rsidRPr="004372AF" w:rsidRDefault="004C4E96" w:rsidP="00FF28FE">
            <w:pPr>
              <w:contextualSpacing/>
              <w:jc w:val="left"/>
              <w:rPr>
                <w:rFonts w:eastAsia="Times New Roman" w:cs="Arial"/>
                <w:lang w:eastAsia="en-GB"/>
              </w:rPr>
            </w:pPr>
            <w:r w:rsidRPr="00A207FB">
              <w:rPr>
                <w:rFonts w:eastAsia="Times New Roman" w:cs="Arial"/>
                <w:lang w:eastAsia="en-GB"/>
              </w:rPr>
              <w:t>human</w:t>
            </w:r>
          </w:p>
        </w:tc>
        <w:tc>
          <w:tcPr>
            <w:tcW w:w="4347" w:type="dxa"/>
            <w:vAlign w:val="center"/>
          </w:tcPr>
          <w:p w14:paraId="2F7C38F4" w14:textId="77777777" w:rsidR="004C4E96" w:rsidRPr="004372AF" w:rsidRDefault="004C4E96" w:rsidP="00FF28FE">
            <w:pPr>
              <w:contextualSpacing/>
              <w:jc w:val="left"/>
              <w:rPr>
                <w:rFonts w:eastAsia="Times New Roman" w:cs="Arial"/>
                <w:lang w:eastAsia="en-GB"/>
              </w:rPr>
            </w:pPr>
            <w:r w:rsidRPr="00A207FB">
              <w:rPr>
                <w:rFonts w:cs="Arial"/>
              </w:rPr>
              <w:t>CATAGCAAGTGGTCTGGGCA</w:t>
            </w:r>
          </w:p>
        </w:tc>
      </w:tr>
    </w:tbl>
    <w:p w14:paraId="138C8D23" w14:textId="77777777" w:rsidR="00F5726F" w:rsidRPr="009F5AB4" w:rsidRDefault="009F5AB4">
      <w:pPr>
        <w:rPr>
          <w:lang w:val="de-DE"/>
        </w:rPr>
      </w:pPr>
    </w:p>
    <w:sectPr w:rsidR="00F5726F" w:rsidRPr="009F5AB4" w:rsidSect="002C52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96"/>
    <w:rsid w:val="00046EBF"/>
    <w:rsid w:val="00047A53"/>
    <w:rsid w:val="000579DD"/>
    <w:rsid w:val="00071504"/>
    <w:rsid w:val="000E2B44"/>
    <w:rsid w:val="00101F7E"/>
    <w:rsid w:val="001227BE"/>
    <w:rsid w:val="00147C5E"/>
    <w:rsid w:val="00155155"/>
    <w:rsid w:val="002355F9"/>
    <w:rsid w:val="002560F3"/>
    <w:rsid w:val="002753ED"/>
    <w:rsid w:val="002844BF"/>
    <w:rsid w:val="002C52B4"/>
    <w:rsid w:val="002E41CD"/>
    <w:rsid w:val="003046C0"/>
    <w:rsid w:val="0034705B"/>
    <w:rsid w:val="00367A32"/>
    <w:rsid w:val="00372289"/>
    <w:rsid w:val="003745FF"/>
    <w:rsid w:val="003928D4"/>
    <w:rsid w:val="003B3C83"/>
    <w:rsid w:val="00480DDF"/>
    <w:rsid w:val="00491B73"/>
    <w:rsid w:val="00494E78"/>
    <w:rsid w:val="004A692E"/>
    <w:rsid w:val="004C4E96"/>
    <w:rsid w:val="004F3B05"/>
    <w:rsid w:val="005207C8"/>
    <w:rsid w:val="00561511"/>
    <w:rsid w:val="0057153C"/>
    <w:rsid w:val="00576915"/>
    <w:rsid w:val="005B7FAA"/>
    <w:rsid w:val="005F10A8"/>
    <w:rsid w:val="00650591"/>
    <w:rsid w:val="00655B74"/>
    <w:rsid w:val="00657E66"/>
    <w:rsid w:val="00690D98"/>
    <w:rsid w:val="006A093B"/>
    <w:rsid w:val="006D5F4E"/>
    <w:rsid w:val="00720321"/>
    <w:rsid w:val="0072315F"/>
    <w:rsid w:val="00752403"/>
    <w:rsid w:val="00771BBB"/>
    <w:rsid w:val="008116D1"/>
    <w:rsid w:val="0082420B"/>
    <w:rsid w:val="00825EF5"/>
    <w:rsid w:val="00841E85"/>
    <w:rsid w:val="008519B7"/>
    <w:rsid w:val="008606EB"/>
    <w:rsid w:val="008731CD"/>
    <w:rsid w:val="00896F8B"/>
    <w:rsid w:val="008B21FF"/>
    <w:rsid w:val="008D59AD"/>
    <w:rsid w:val="008E30B9"/>
    <w:rsid w:val="00901672"/>
    <w:rsid w:val="00913CDD"/>
    <w:rsid w:val="00913D48"/>
    <w:rsid w:val="00955991"/>
    <w:rsid w:val="009C7936"/>
    <w:rsid w:val="009E1257"/>
    <w:rsid w:val="009F5AB4"/>
    <w:rsid w:val="00A7603C"/>
    <w:rsid w:val="00A87685"/>
    <w:rsid w:val="00A9136C"/>
    <w:rsid w:val="00AB4DC6"/>
    <w:rsid w:val="00AE3983"/>
    <w:rsid w:val="00B02C7F"/>
    <w:rsid w:val="00B347BA"/>
    <w:rsid w:val="00B46CA4"/>
    <w:rsid w:val="00B523BF"/>
    <w:rsid w:val="00B525C2"/>
    <w:rsid w:val="00B57083"/>
    <w:rsid w:val="00B656FB"/>
    <w:rsid w:val="00B7564A"/>
    <w:rsid w:val="00C07666"/>
    <w:rsid w:val="00C14725"/>
    <w:rsid w:val="00C54782"/>
    <w:rsid w:val="00C90AAF"/>
    <w:rsid w:val="00CA04DB"/>
    <w:rsid w:val="00CD05F7"/>
    <w:rsid w:val="00D32CD5"/>
    <w:rsid w:val="00D35C11"/>
    <w:rsid w:val="00DA601E"/>
    <w:rsid w:val="00E56EDD"/>
    <w:rsid w:val="00EA5342"/>
    <w:rsid w:val="00F018F9"/>
    <w:rsid w:val="00F400CE"/>
    <w:rsid w:val="00F55D4B"/>
    <w:rsid w:val="00F808DC"/>
    <w:rsid w:val="00FB1FD5"/>
    <w:rsid w:val="00FC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D703"/>
  <w15:chartTrackingRefBased/>
  <w15:docId w15:val="{1FBED420-1FEC-EA4F-95C7-E876CD0D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96"/>
    <w:pPr>
      <w:spacing w:line="360" w:lineRule="auto"/>
      <w:jc w:val="both"/>
    </w:pPr>
    <w:rPr>
      <w:rFonts w:ascii="Arial" w:hAnsi="Arial"/>
      <w:sz w:val="22"/>
      <w:szCs w:val="22"/>
    </w:rPr>
  </w:style>
  <w:style w:type="paragraph" w:styleId="Heading3">
    <w:name w:val="heading 3"/>
    <w:basedOn w:val="Normal"/>
    <w:next w:val="Normal"/>
    <w:link w:val="Heading3Char"/>
    <w:uiPriority w:val="9"/>
    <w:unhideWhenUsed/>
    <w:qFormat/>
    <w:rsid w:val="004C4E96"/>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4E96"/>
    <w:rPr>
      <w:rFonts w:ascii="Arial" w:eastAsiaTheme="majorEastAsia" w:hAnsi="Arial" w:cstheme="majorBidi"/>
      <w:b/>
    </w:rPr>
  </w:style>
  <w:style w:type="table" w:styleId="PlainTable2">
    <w:name w:val="Plain Table 2"/>
    <w:basedOn w:val="TableNormal"/>
    <w:uiPriority w:val="42"/>
    <w:rsid w:val="004C4E96"/>
    <w:rPr>
      <w:sz w:val="22"/>
      <w:szCs w:val="22"/>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C4E96"/>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6137</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Grinat</dc:creator>
  <cp:keywords/>
  <dc:description/>
  <cp:lastModifiedBy>Heuberger, Julian</cp:lastModifiedBy>
  <cp:revision>2</cp:revision>
  <dcterms:created xsi:type="dcterms:W3CDTF">2021-12-30T19:36:00Z</dcterms:created>
  <dcterms:modified xsi:type="dcterms:W3CDTF">2021-12-30T19:36:00Z</dcterms:modified>
</cp:coreProperties>
</file>