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E6" w:rsidRPr="00F355C8" w:rsidRDefault="003738E6" w:rsidP="003738E6">
      <w:pPr>
        <w:pStyle w:val="appsectiona"/>
        <w:rPr>
          <w:bCs/>
        </w:rPr>
      </w:pPr>
      <w:bookmarkStart w:id="0" w:name="_GoBack"/>
      <w:bookmarkEnd w:id="0"/>
      <w:r w:rsidRPr="00F355C8">
        <w:rPr>
          <w:b/>
          <w:bCs/>
        </w:rPr>
        <w:t>Supplementary information</w:t>
      </w:r>
      <w:bookmarkStart w:id="1" w:name="Line_manu_308"/>
      <w:bookmarkEnd w:id="1"/>
    </w:p>
    <w:p w:rsidR="003738E6" w:rsidRPr="00F355C8" w:rsidRDefault="003738E6" w:rsidP="003738E6">
      <w:pPr>
        <w:pStyle w:val="duplicate"/>
        <w:shd w:val="clear" w:color="auto" w:fill="FF0000"/>
        <w:rPr>
          <w:bCs/>
        </w:rPr>
      </w:pPr>
      <w:r w:rsidRPr="00F355C8">
        <w:rPr>
          <w:b/>
          <w:bCs/>
        </w:rPr>
        <w:t xml:space="preserve">Novel </w:t>
      </w:r>
      <w:proofErr w:type="spellStart"/>
      <w:r w:rsidRPr="00F355C8">
        <w:rPr>
          <w:b/>
          <w:bCs/>
          <w:i/>
        </w:rPr>
        <w:t>DNM1L</w:t>
      </w:r>
      <w:proofErr w:type="spellEnd"/>
      <w:r w:rsidRPr="00F355C8">
        <w:rPr>
          <w:b/>
          <w:bCs/>
          <w:i/>
        </w:rPr>
        <w:t xml:space="preserve"> </w:t>
      </w:r>
      <w:r w:rsidRPr="00F355C8">
        <w:rPr>
          <w:b/>
          <w:bCs/>
        </w:rPr>
        <w:t>variants impair mitochondrial dynamics through divergent mechanisms.</w:t>
      </w:r>
      <w:bookmarkStart w:id="2" w:name="Line_manu_309"/>
      <w:bookmarkEnd w:id="2"/>
    </w:p>
    <w:p w:rsidR="003738E6" w:rsidRPr="00F355C8" w:rsidRDefault="003738E6" w:rsidP="003738E6">
      <w:pPr>
        <w:pStyle w:val="authors"/>
      </w:pPr>
      <w:r w:rsidRPr="00F355C8">
        <w:rPr>
          <w:color w:val="201F1E"/>
          <w:bdr w:val="none" w:sz="0" w:space="0" w:color="auto" w:frame="1"/>
        </w:rPr>
        <w:t xml:space="preserve">Kelsey A. </w:t>
      </w:r>
      <w:proofErr w:type="spellStart"/>
      <w:r w:rsidRPr="00F355C8">
        <w:rPr>
          <w:color w:val="201F1E"/>
          <w:bdr w:val="none" w:sz="0" w:space="0" w:color="auto" w:frame="1"/>
        </w:rPr>
        <w:t>Nolden</w:t>
      </w:r>
      <w:r w:rsidRPr="00F355C8">
        <w:rPr>
          <w:color w:val="201F1E"/>
          <w:bdr w:val="none" w:sz="0" w:space="0" w:color="auto" w:frame="1"/>
          <w:vertAlign w:val="superscript"/>
        </w:rPr>
        <w:t>1</w:t>
      </w:r>
      <w:proofErr w:type="spellEnd"/>
      <w:r w:rsidRPr="00F355C8">
        <w:rPr>
          <w:color w:val="201F1E"/>
          <w:bdr w:val="none" w:sz="0" w:space="0" w:color="auto" w:frame="1"/>
          <w:vertAlign w:val="superscript"/>
        </w:rPr>
        <w:t>*</w:t>
      </w:r>
      <w:r w:rsidRPr="00F355C8">
        <w:rPr>
          <w:color w:val="201F1E"/>
          <w:bdr w:val="none" w:sz="0" w:space="0" w:color="auto" w:frame="1"/>
        </w:rPr>
        <w:t xml:space="preserve">, John M. </w:t>
      </w:r>
      <w:proofErr w:type="spellStart"/>
      <w:r w:rsidRPr="00F355C8">
        <w:rPr>
          <w:color w:val="201F1E"/>
          <w:bdr w:val="none" w:sz="0" w:space="0" w:color="auto" w:frame="1"/>
        </w:rPr>
        <w:t>Egner</w:t>
      </w:r>
      <w:r w:rsidRPr="00F355C8">
        <w:rPr>
          <w:color w:val="201F1E"/>
          <w:bdr w:val="none" w:sz="0" w:space="0" w:color="auto" w:frame="1"/>
          <w:vertAlign w:val="superscript"/>
        </w:rPr>
        <w:t>1</w:t>
      </w:r>
      <w:proofErr w:type="spellEnd"/>
      <w:r w:rsidRPr="00F355C8">
        <w:rPr>
          <w:color w:val="201F1E"/>
          <w:bdr w:val="none" w:sz="0" w:space="0" w:color="auto" w:frame="1"/>
          <w:vertAlign w:val="superscript"/>
        </w:rPr>
        <w:t>*</w:t>
      </w:r>
      <w:r w:rsidRPr="00F355C8">
        <w:rPr>
          <w:color w:val="201F1E"/>
          <w:bdr w:val="none" w:sz="0" w:space="0" w:color="auto" w:frame="1"/>
        </w:rPr>
        <w:t xml:space="preserve">, Jack J. </w:t>
      </w:r>
      <w:proofErr w:type="spellStart"/>
      <w:r w:rsidRPr="00F355C8">
        <w:rPr>
          <w:color w:val="201F1E"/>
          <w:bdr w:val="none" w:sz="0" w:space="0" w:color="auto" w:frame="1"/>
        </w:rPr>
        <w:t>Collier</w:t>
      </w:r>
      <w:r w:rsidRPr="00F355C8">
        <w:rPr>
          <w:color w:val="201F1E"/>
          <w:bdr w:val="none" w:sz="0" w:space="0" w:color="auto" w:frame="1"/>
          <w:vertAlign w:val="superscript"/>
        </w:rPr>
        <w:t>2,3</w:t>
      </w:r>
      <w:proofErr w:type="spellEnd"/>
      <w:r w:rsidRPr="00F355C8">
        <w:rPr>
          <w:color w:val="201F1E"/>
          <w:bdr w:val="none" w:sz="0" w:space="0" w:color="auto" w:frame="1"/>
        </w:rPr>
        <w:t xml:space="preserve">, Oliver M. </w:t>
      </w:r>
      <w:proofErr w:type="spellStart"/>
      <w:r w:rsidRPr="00F355C8">
        <w:rPr>
          <w:color w:val="201F1E"/>
          <w:bdr w:val="none" w:sz="0" w:space="0" w:color="auto" w:frame="1"/>
        </w:rPr>
        <w:t>Russell</w:t>
      </w:r>
      <w:r w:rsidRPr="00F355C8">
        <w:rPr>
          <w:color w:val="201F1E"/>
          <w:bdr w:val="none" w:sz="0" w:space="0" w:color="auto" w:frame="1"/>
          <w:vertAlign w:val="superscript"/>
        </w:rPr>
        <w:t>2</w:t>
      </w:r>
      <w:proofErr w:type="spellEnd"/>
      <w:r w:rsidRPr="00F355C8">
        <w:rPr>
          <w:color w:val="201F1E"/>
          <w:bdr w:val="none" w:sz="0" w:space="0" w:color="auto" w:frame="1"/>
        </w:rPr>
        <w:t xml:space="preserve">, Charlotte L. </w:t>
      </w:r>
      <w:proofErr w:type="spellStart"/>
      <w:r w:rsidRPr="00F355C8">
        <w:rPr>
          <w:color w:val="201F1E"/>
          <w:bdr w:val="none" w:sz="0" w:space="0" w:color="auto" w:frame="1"/>
        </w:rPr>
        <w:t>Alston</w:t>
      </w:r>
      <w:r w:rsidRPr="00F355C8">
        <w:rPr>
          <w:color w:val="201F1E"/>
          <w:bdr w:val="none" w:sz="0" w:space="0" w:color="auto" w:frame="1"/>
          <w:vertAlign w:val="superscript"/>
        </w:rPr>
        <w:t>2,4</w:t>
      </w:r>
      <w:proofErr w:type="spellEnd"/>
      <w:r w:rsidRPr="00F355C8">
        <w:rPr>
          <w:color w:val="201F1E"/>
          <w:bdr w:val="none" w:sz="0" w:space="0" w:color="auto" w:frame="1"/>
        </w:rPr>
        <w:t xml:space="preserve">, Megan C. </w:t>
      </w:r>
      <w:proofErr w:type="spellStart"/>
      <w:r w:rsidRPr="00F355C8">
        <w:rPr>
          <w:color w:val="201F1E"/>
          <w:bdr w:val="none" w:sz="0" w:space="0" w:color="auto" w:frame="1"/>
        </w:rPr>
        <w:t>Harwig</w:t>
      </w:r>
      <w:r w:rsidRPr="00F355C8">
        <w:rPr>
          <w:color w:val="201F1E"/>
          <w:bdr w:val="none" w:sz="0" w:space="0" w:color="auto" w:frame="1"/>
          <w:vertAlign w:val="superscript"/>
        </w:rPr>
        <w:t>1</w:t>
      </w:r>
      <w:proofErr w:type="spellEnd"/>
      <w:r w:rsidRPr="00F355C8">
        <w:rPr>
          <w:color w:val="201F1E"/>
          <w:bdr w:val="none" w:sz="0" w:space="0" w:color="auto" w:frame="1"/>
        </w:rPr>
        <w:t xml:space="preserve">, Michael E. </w:t>
      </w:r>
      <w:proofErr w:type="spellStart"/>
      <w:r w:rsidRPr="00F355C8">
        <w:rPr>
          <w:color w:val="201F1E"/>
          <w:bdr w:val="none" w:sz="0" w:space="0" w:color="auto" w:frame="1"/>
        </w:rPr>
        <w:t>Widlansky</w:t>
      </w:r>
      <w:r w:rsidRPr="00F355C8">
        <w:rPr>
          <w:color w:val="201F1E"/>
          <w:bdr w:val="none" w:sz="0" w:space="0" w:color="auto" w:frame="1"/>
          <w:vertAlign w:val="superscript"/>
        </w:rPr>
        <w:t>5</w:t>
      </w:r>
      <w:proofErr w:type="spellEnd"/>
      <w:r w:rsidRPr="00F355C8">
        <w:rPr>
          <w:color w:val="201F1E"/>
          <w:bdr w:val="none" w:sz="0" w:space="0" w:color="auto" w:frame="1"/>
        </w:rPr>
        <w:t xml:space="preserve">, </w:t>
      </w:r>
      <w:proofErr w:type="spellStart"/>
      <w:r w:rsidRPr="00F355C8">
        <w:rPr>
          <w:color w:val="201F1E"/>
          <w:bdr w:val="none" w:sz="0" w:space="0" w:color="auto" w:frame="1"/>
        </w:rPr>
        <w:t>Souphatta</w:t>
      </w:r>
      <w:proofErr w:type="spellEnd"/>
      <w:r w:rsidRPr="00F355C8">
        <w:rPr>
          <w:color w:val="201F1E"/>
          <w:bdr w:val="none" w:sz="0" w:space="0" w:color="auto" w:frame="1"/>
        </w:rPr>
        <w:t xml:space="preserve"> </w:t>
      </w:r>
      <w:proofErr w:type="spellStart"/>
      <w:r w:rsidRPr="00F355C8">
        <w:rPr>
          <w:color w:val="201F1E"/>
          <w:bdr w:val="none" w:sz="0" w:space="0" w:color="auto" w:frame="1"/>
        </w:rPr>
        <w:t>Sasorith</w:t>
      </w:r>
      <w:r w:rsidRPr="00F355C8">
        <w:rPr>
          <w:color w:val="201F1E"/>
          <w:bdr w:val="none" w:sz="0" w:space="0" w:color="auto" w:frame="1"/>
          <w:vertAlign w:val="superscript"/>
        </w:rPr>
        <w:t>6</w:t>
      </w:r>
      <w:proofErr w:type="spellEnd"/>
      <w:r w:rsidRPr="00F355C8">
        <w:rPr>
          <w:color w:val="201F1E"/>
          <w:bdr w:val="none" w:sz="0" w:space="0" w:color="auto" w:frame="1"/>
        </w:rPr>
        <w:t xml:space="preserve">, </w:t>
      </w:r>
      <w:proofErr w:type="spellStart"/>
      <w:r w:rsidRPr="00F355C8">
        <w:rPr>
          <w:color w:val="201F1E"/>
          <w:bdr w:val="none" w:sz="0" w:space="0" w:color="auto" w:frame="1"/>
        </w:rPr>
        <w:t>Inês</w:t>
      </w:r>
      <w:proofErr w:type="spellEnd"/>
      <w:r w:rsidRPr="00F355C8">
        <w:rPr>
          <w:color w:val="201F1E"/>
          <w:bdr w:val="none" w:sz="0" w:space="0" w:color="auto" w:frame="1"/>
        </w:rPr>
        <w:t xml:space="preserve"> A. </w:t>
      </w:r>
      <w:proofErr w:type="spellStart"/>
      <w:r w:rsidRPr="00F355C8">
        <w:rPr>
          <w:color w:val="201F1E"/>
          <w:bdr w:val="none" w:sz="0" w:space="0" w:color="auto" w:frame="1"/>
        </w:rPr>
        <w:t>Barbosa</w:t>
      </w:r>
      <w:r w:rsidRPr="00F355C8">
        <w:rPr>
          <w:color w:val="201F1E"/>
          <w:bdr w:val="none" w:sz="0" w:space="0" w:color="auto" w:frame="1"/>
          <w:vertAlign w:val="superscript"/>
        </w:rPr>
        <w:t>7</w:t>
      </w:r>
      <w:proofErr w:type="spellEnd"/>
      <w:r w:rsidRPr="00F355C8">
        <w:rPr>
          <w:color w:val="201F1E"/>
          <w:bdr w:val="none" w:sz="0" w:space="0" w:color="auto" w:frame="1"/>
        </w:rPr>
        <w:t xml:space="preserve">, Andrew G. L. </w:t>
      </w:r>
      <w:proofErr w:type="spellStart"/>
      <w:r w:rsidRPr="00F355C8">
        <w:rPr>
          <w:color w:val="201F1E"/>
          <w:bdr w:val="none" w:sz="0" w:space="0" w:color="auto" w:frame="1"/>
        </w:rPr>
        <w:t>Douglas</w:t>
      </w:r>
      <w:r w:rsidRPr="00F355C8">
        <w:rPr>
          <w:color w:val="201F1E"/>
          <w:bdr w:val="none" w:sz="0" w:space="0" w:color="auto" w:frame="1"/>
          <w:vertAlign w:val="superscript"/>
        </w:rPr>
        <w:t>8,9</w:t>
      </w:r>
      <w:proofErr w:type="spellEnd"/>
      <w:r w:rsidRPr="00F355C8">
        <w:rPr>
          <w:color w:val="201F1E"/>
          <w:bdr w:val="none" w:sz="0" w:space="0" w:color="auto" w:frame="1"/>
        </w:rPr>
        <w:t xml:space="preserve">, Julia </w:t>
      </w:r>
      <w:proofErr w:type="spellStart"/>
      <w:r w:rsidRPr="00F355C8">
        <w:rPr>
          <w:color w:val="201F1E"/>
          <w:bdr w:val="none" w:sz="0" w:space="0" w:color="auto" w:frame="1"/>
        </w:rPr>
        <w:t>Baptista</w:t>
      </w:r>
      <w:r w:rsidRPr="00F355C8">
        <w:rPr>
          <w:color w:val="201F1E"/>
          <w:bdr w:val="none" w:sz="0" w:space="0" w:color="auto" w:frame="1"/>
          <w:vertAlign w:val="superscript"/>
        </w:rPr>
        <w:t>10,11</w:t>
      </w:r>
      <w:proofErr w:type="spellEnd"/>
      <w:r w:rsidRPr="00F355C8">
        <w:rPr>
          <w:color w:val="201F1E"/>
          <w:bdr w:val="none" w:sz="0" w:space="0" w:color="auto" w:frame="1"/>
        </w:rPr>
        <w:t xml:space="preserve">, Mark </w:t>
      </w:r>
      <w:proofErr w:type="spellStart"/>
      <w:r w:rsidRPr="00F355C8">
        <w:rPr>
          <w:color w:val="201F1E"/>
          <w:bdr w:val="none" w:sz="0" w:space="0" w:color="auto" w:frame="1"/>
        </w:rPr>
        <w:t>Walker</w:t>
      </w:r>
      <w:r w:rsidRPr="00F355C8">
        <w:rPr>
          <w:color w:val="201F1E"/>
          <w:bdr w:val="none" w:sz="0" w:space="0" w:color="auto" w:frame="1"/>
          <w:vertAlign w:val="superscript"/>
        </w:rPr>
        <w:t>12</w:t>
      </w:r>
      <w:proofErr w:type="spellEnd"/>
      <w:r w:rsidRPr="00F355C8">
        <w:rPr>
          <w:color w:val="201F1E"/>
          <w:bdr w:val="none" w:sz="0" w:space="0" w:color="auto" w:frame="1"/>
        </w:rPr>
        <w:t xml:space="preserve">, Deirdre E. </w:t>
      </w:r>
      <w:proofErr w:type="spellStart"/>
      <w:r w:rsidRPr="00F355C8">
        <w:rPr>
          <w:color w:val="201F1E"/>
          <w:bdr w:val="none" w:sz="0" w:space="0" w:color="auto" w:frame="1"/>
        </w:rPr>
        <w:t>Donnelly</w:t>
      </w:r>
      <w:r w:rsidRPr="00F355C8">
        <w:rPr>
          <w:color w:val="201F1E"/>
          <w:bdr w:val="none" w:sz="0" w:space="0" w:color="auto" w:frame="1"/>
          <w:vertAlign w:val="superscript"/>
        </w:rPr>
        <w:t>13</w:t>
      </w:r>
      <w:proofErr w:type="spellEnd"/>
      <w:r w:rsidRPr="00F355C8">
        <w:rPr>
          <w:color w:val="201F1E"/>
          <w:bdr w:val="none" w:sz="0" w:space="0" w:color="auto" w:frame="1"/>
        </w:rPr>
        <w:t xml:space="preserve">, Andrew A. </w:t>
      </w:r>
      <w:proofErr w:type="spellStart"/>
      <w:r w:rsidRPr="00F355C8">
        <w:rPr>
          <w:color w:val="201F1E"/>
          <w:bdr w:val="none" w:sz="0" w:space="0" w:color="auto" w:frame="1"/>
        </w:rPr>
        <w:t>Morris</w:t>
      </w:r>
      <w:r w:rsidRPr="00F355C8">
        <w:rPr>
          <w:color w:val="201F1E"/>
          <w:bdr w:val="none" w:sz="0" w:space="0" w:color="auto" w:frame="1"/>
          <w:vertAlign w:val="superscript"/>
        </w:rPr>
        <w:t>14</w:t>
      </w:r>
      <w:proofErr w:type="spellEnd"/>
      <w:r w:rsidRPr="00F355C8">
        <w:rPr>
          <w:color w:val="201F1E"/>
          <w:bdr w:val="none" w:sz="0" w:space="0" w:color="auto" w:frame="1"/>
        </w:rPr>
        <w:t xml:space="preserve">, </w:t>
      </w:r>
      <w:proofErr w:type="spellStart"/>
      <w:r w:rsidRPr="00F355C8">
        <w:rPr>
          <w:color w:val="201F1E"/>
          <w:bdr w:val="none" w:sz="0" w:space="0" w:color="auto" w:frame="1"/>
        </w:rPr>
        <w:t>Hui</w:t>
      </w:r>
      <w:proofErr w:type="spellEnd"/>
      <w:r w:rsidRPr="00F355C8">
        <w:rPr>
          <w:color w:val="201F1E"/>
          <w:bdr w:val="none" w:sz="0" w:space="0" w:color="auto" w:frame="1"/>
        </w:rPr>
        <w:t xml:space="preserve"> </w:t>
      </w:r>
      <w:proofErr w:type="spellStart"/>
      <w:r w:rsidRPr="00F355C8">
        <w:rPr>
          <w:color w:val="201F1E"/>
          <w:bdr w:val="none" w:sz="0" w:space="0" w:color="auto" w:frame="1"/>
        </w:rPr>
        <w:t>Jeen</w:t>
      </w:r>
      <w:proofErr w:type="spellEnd"/>
      <w:r w:rsidRPr="00F355C8">
        <w:rPr>
          <w:color w:val="201F1E"/>
          <w:bdr w:val="none" w:sz="0" w:space="0" w:color="auto" w:frame="1"/>
        </w:rPr>
        <w:t xml:space="preserve"> </w:t>
      </w:r>
      <w:proofErr w:type="spellStart"/>
      <w:r w:rsidRPr="00F355C8">
        <w:rPr>
          <w:color w:val="201F1E"/>
          <w:bdr w:val="none" w:sz="0" w:space="0" w:color="auto" w:frame="1"/>
        </w:rPr>
        <w:t>Tan</w:t>
      </w:r>
      <w:r w:rsidRPr="00F355C8">
        <w:rPr>
          <w:color w:val="201F1E"/>
          <w:bdr w:val="none" w:sz="0" w:space="0" w:color="auto" w:frame="1"/>
          <w:vertAlign w:val="superscript"/>
        </w:rPr>
        <w:t>15</w:t>
      </w:r>
      <w:proofErr w:type="spellEnd"/>
      <w:r w:rsidRPr="00F355C8">
        <w:rPr>
          <w:color w:val="201F1E"/>
          <w:bdr w:val="none" w:sz="0" w:space="0" w:color="auto" w:frame="1"/>
        </w:rPr>
        <w:t xml:space="preserve">, </w:t>
      </w:r>
      <w:proofErr w:type="spellStart"/>
      <w:r w:rsidRPr="00F355C8">
        <w:rPr>
          <w:color w:val="201F1E"/>
          <w:bdr w:val="none" w:sz="0" w:space="0" w:color="auto" w:frame="1"/>
        </w:rPr>
        <w:t>Manju</w:t>
      </w:r>
      <w:proofErr w:type="spellEnd"/>
      <w:r w:rsidRPr="00F355C8">
        <w:rPr>
          <w:color w:val="201F1E"/>
          <w:bdr w:val="none" w:sz="0" w:space="0" w:color="auto" w:frame="1"/>
        </w:rPr>
        <w:t xml:space="preserve"> A. </w:t>
      </w:r>
      <w:proofErr w:type="spellStart"/>
      <w:r w:rsidRPr="00F355C8">
        <w:rPr>
          <w:color w:val="201F1E"/>
          <w:bdr w:val="none" w:sz="0" w:space="0" w:color="auto" w:frame="1"/>
        </w:rPr>
        <w:t>Kurian</w:t>
      </w:r>
      <w:r w:rsidRPr="00F355C8">
        <w:rPr>
          <w:color w:val="201F1E"/>
          <w:bdr w:val="none" w:sz="0" w:space="0" w:color="auto" w:frame="1"/>
          <w:vertAlign w:val="superscript"/>
        </w:rPr>
        <w:t>16</w:t>
      </w:r>
      <w:proofErr w:type="spellEnd"/>
      <w:r w:rsidRPr="00F355C8">
        <w:rPr>
          <w:color w:val="201F1E"/>
          <w:bdr w:val="none" w:sz="0" w:space="0" w:color="auto" w:frame="1"/>
        </w:rPr>
        <w:t xml:space="preserve">, Kathleen </w:t>
      </w:r>
      <w:proofErr w:type="spellStart"/>
      <w:r w:rsidRPr="00F355C8">
        <w:rPr>
          <w:color w:val="201F1E"/>
          <w:bdr w:val="none" w:sz="0" w:space="0" w:color="auto" w:frame="1"/>
        </w:rPr>
        <w:t>Gorman</w:t>
      </w:r>
      <w:r w:rsidRPr="00F355C8">
        <w:rPr>
          <w:color w:val="201F1E"/>
          <w:bdr w:val="none" w:sz="0" w:space="0" w:color="auto" w:frame="1"/>
          <w:vertAlign w:val="superscript"/>
        </w:rPr>
        <w:t>17,18</w:t>
      </w:r>
      <w:proofErr w:type="spellEnd"/>
      <w:r w:rsidRPr="00F355C8">
        <w:rPr>
          <w:color w:val="201F1E"/>
          <w:bdr w:val="none" w:sz="0" w:space="0" w:color="auto" w:frame="1"/>
        </w:rPr>
        <w:t xml:space="preserve">, </w:t>
      </w:r>
      <w:proofErr w:type="spellStart"/>
      <w:r w:rsidRPr="00F355C8">
        <w:rPr>
          <w:color w:val="201F1E"/>
          <w:bdr w:val="none" w:sz="0" w:space="0" w:color="auto" w:frame="1"/>
        </w:rPr>
        <w:t>Santosh</w:t>
      </w:r>
      <w:proofErr w:type="spellEnd"/>
      <w:r w:rsidRPr="00F355C8">
        <w:rPr>
          <w:color w:val="201F1E"/>
          <w:bdr w:val="none" w:sz="0" w:space="0" w:color="auto" w:frame="1"/>
        </w:rPr>
        <w:t xml:space="preserve"> </w:t>
      </w:r>
      <w:proofErr w:type="spellStart"/>
      <w:r w:rsidRPr="00F355C8">
        <w:rPr>
          <w:color w:val="201F1E"/>
          <w:bdr w:val="none" w:sz="0" w:space="0" w:color="auto" w:frame="1"/>
        </w:rPr>
        <w:t>Mordekar</w:t>
      </w:r>
      <w:r w:rsidRPr="00F355C8">
        <w:rPr>
          <w:color w:val="201F1E"/>
          <w:bdr w:val="none" w:sz="0" w:space="0" w:color="auto" w:frame="1"/>
          <w:vertAlign w:val="superscript"/>
        </w:rPr>
        <w:t>19</w:t>
      </w:r>
      <w:proofErr w:type="spellEnd"/>
      <w:r w:rsidRPr="00F355C8">
        <w:rPr>
          <w:color w:val="201F1E"/>
          <w:bdr w:val="none" w:sz="0" w:space="0" w:color="auto" w:frame="1"/>
        </w:rPr>
        <w:t>,</w:t>
      </w:r>
      <w:r w:rsidRPr="00F355C8">
        <w:t xml:space="preserve"> </w:t>
      </w:r>
      <w:proofErr w:type="spellStart"/>
      <w:r w:rsidRPr="00F355C8">
        <w:rPr>
          <w:color w:val="201F1E"/>
          <w:bdr w:val="none" w:sz="0" w:space="0" w:color="auto" w:frame="1"/>
        </w:rPr>
        <w:t>Charu</w:t>
      </w:r>
      <w:proofErr w:type="spellEnd"/>
      <w:r w:rsidRPr="00F355C8">
        <w:rPr>
          <w:color w:val="201F1E"/>
          <w:bdr w:val="none" w:sz="0" w:space="0" w:color="auto" w:frame="1"/>
        </w:rPr>
        <w:t xml:space="preserve"> </w:t>
      </w:r>
      <w:proofErr w:type="spellStart"/>
      <w:r w:rsidRPr="00F355C8">
        <w:rPr>
          <w:color w:val="201F1E"/>
          <w:bdr w:val="none" w:sz="0" w:space="0" w:color="auto" w:frame="1"/>
        </w:rPr>
        <w:t>Deshpande</w:t>
      </w:r>
      <w:r w:rsidRPr="00F355C8">
        <w:rPr>
          <w:color w:val="201F1E"/>
          <w:bdr w:val="none" w:sz="0" w:space="0" w:color="auto" w:frame="1"/>
          <w:vertAlign w:val="superscript"/>
        </w:rPr>
        <w:t>20</w:t>
      </w:r>
      <w:proofErr w:type="spellEnd"/>
      <w:r w:rsidRPr="00F355C8">
        <w:rPr>
          <w:color w:val="201F1E"/>
          <w:bdr w:val="none" w:sz="0" w:space="0" w:color="auto" w:frame="1"/>
        </w:rPr>
        <w:t xml:space="preserve">, </w:t>
      </w:r>
      <w:proofErr w:type="spellStart"/>
      <w:r w:rsidRPr="00F355C8">
        <w:rPr>
          <w:color w:val="201F1E"/>
          <w:bdr w:val="none" w:sz="0" w:space="0" w:color="auto" w:frame="1"/>
        </w:rPr>
        <w:t>Rajib</w:t>
      </w:r>
      <w:proofErr w:type="spellEnd"/>
      <w:r w:rsidRPr="00F355C8">
        <w:rPr>
          <w:color w:val="201F1E"/>
          <w:bdr w:val="none" w:sz="0" w:space="0" w:color="auto" w:frame="1"/>
        </w:rPr>
        <w:t xml:space="preserve"> </w:t>
      </w:r>
      <w:proofErr w:type="spellStart"/>
      <w:r w:rsidRPr="00F355C8">
        <w:rPr>
          <w:color w:val="201F1E"/>
          <w:bdr w:val="none" w:sz="0" w:space="0" w:color="auto" w:frame="1"/>
        </w:rPr>
        <w:t>Samanta</w:t>
      </w:r>
      <w:r w:rsidRPr="00F355C8">
        <w:rPr>
          <w:color w:val="201F1E"/>
          <w:bdr w:val="none" w:sz="0" w:space="0" w:color="auto" w:frame="1"/>
          <w:vertAlign w:val="superscript"/>
        </w:rPr>
        <w:t>21</w:t>
      </w:r>
      <w:proofErr w:type="spellEnd"/>
      <w:r w:rsidRPr="00F355C8">
        <w:rPr>
          <w:color w:val="201F1E"/>
          <w:bdr w:val="none" w:sz="0" w:space="0" w:color="auto" w:frame="1"/>
        </w:rPr>
        <w:t xml:space="preserve">, Robert </w:t>
      </w:r>
      <w:proofErr w:type="spellStart"/>
      <w:r w:rsidRPr="00F355C8">
        <w:rPr>
          <w:color w:val="201F1E"/>
          <w:bdr w:val="none" w:sz="0" w:space="0" w:color="auto" w:frame="1"/>
        </w:rPr>
        <w:t>McFarland</w:t>
      </w:r>
      <w:r w:rsidRPr="00F355C8">
        <w:rPr>
          <w:color w:val="201F1E"/>
          <w:bdr w:val="none" w:sz="0" w:space="0" w:color="auto" w:frame="1"/>
          <w:vertAlign w:val="superscript"/>
        </w:rPr>
        <w:t>2,4</w:t>
      </w:r>
      <w:proofErr w:type="spellEnd"/>
      <w:r w:rsidRPr="00F355C8">
        <w:rPr>
          <w:color w:val="201F1E"/>
          <w:bdr w:val="none" w:sz="0" w:space="0" w:color="auto" w:frame="1"/>
        </w:rPr>
        <w:t xml:space="preserve">, R. Blake </w:t>
      </w:r>
      <w:proofErr w:type="spellStart"/>
      <w:r w:rsidRPr="00F355C8">
        <w:rPr>
          <w:color w:val="201F1E"/>
          <w:bdr w:val="none" w:sz="0" w:space="0" w:color="auto" w:frame="1"/>
        </w:rPr>
        <w:t>Hill</w:t>
      </w:r>
      <w:r w:rsidRPr="00F355C8">
        <w:rPr>
          <w:color w:val="201F1E"/>
          <w:bdr w:val="none" w:sz="0" w:space="0" w:color="auto" w:frame="1"/>
          <w:vertAlign w:val="superscript"/>
        </w:rPr>
        <w:t>1</w:t>
      </w:r>
      <w:proofErr w:type="spellEnd"/>
      <w:r w:rsidRPr="00F355C8">
        <w:rPr>
          <w:color w:val="201F1E"/>
          <w:bdr w:val="none" w:sz="0" w:space="0" w:color="auto" w:frame="1"/>
        </w:rPr>
        <w:t xml:space="preserve">, Robert W. </w:t>
      </w:r>
      <w:proofErr w:type="spellStart"/>
      <w:r w:rsidRPr="00F355C8">
        <w:rPr>
          <w:color w:val="201F1E"/>
          <w:bdr w:val="none" w:sz="0" w:space="0" w:color="auto" w:frame="1"/>
        </w:rPr>
        <w:t>Taylor</w:t>
      </w:r>
      <w:r w:rsidRPr="00F355C8">
        <w:rPr>
          <w:color w:val="201F1E"/>
          <w:bdr w:val="none" w:sz="0" w:space="0" w:color="auto" w:frame="1"/>
          <w:vertAlign w:val="superscript"/>
        </w:rPr>
        <w:t>2,4</w:t>
      </w:r>
      <w:proofErr w:type="spellEnd"/>
      <w:r w:rsidRPr="00F355C8">
        <w:rPr>
          <w:color w:val="201F1E"/>
          <w:bdr w:val="none" w:sz="0" w:space="0" w:color="auto" w:frame="1"/>
        </w:rPr>
        <w:t xml:space="preserve"> and Monika </w:t>
      </w:r>
      <w:proofErr w:type="spellStart"/>
      <w:r w:rsidRPr="00F355C8">
        <w:rPr>
          <w:color w:val="201F1E"/>
          <w:bdr w:val="none" w:sz="0" w:space="0" w:color="auto" w:frame="1"/>
        </w:rPr>
        <w:t>Oláhová</w:t>
      </w:r>
      <w:r w:rsidRPr="00F355C8">
        <w:rPr>
          <w:color w:val="201F1E"/>
          <w:bdr w:val="none" w:sz="0" w:space="0" w:color="auto" w:frame="1"/>
          <w:vertAlign w:val="superscript"/>
        </w:rPr>
        <w:t>2</w:t>
      </w:r>
      <w:bookmarkStart w:id="3" w:name="Line_manu_310"/>
      <w:bookmarkEnd w:id="3"/>
      <w:proofErr w:type="spellEnd"/>
    </w:p>
    <w:p w:rsidR="003738E6" w:rsidRPr="00F355C8" w:rsidRDefault="003738E6" w:rsidP="003738E6">
      <w:pPr>
        <w:pStyle w:val="sectiona"/>
        <w:rPr>
          <w:bCs/>
        </w:rPr>
      </w:pPr>
      <w:r w:rsidRPr="00F355C8">
        <w:rPr>
          <w:bCs/>
        </w:rPr>
        <w:t>1. Expanded View Results, Materials and Methods</w:t>
      </w:r>
      <w:bookmarkStart w:id="4" w:name="Line_manu_311"/>
      <w:bookmarkEnd w:id="4"/>
    </w:p>
    <w:p w:rsidR="003738E6" w:rsidRPr="00F355C8" w:rsidRDefault="003738E6" w:rsidP="003738E6">
      <w:pPr>
        <w:pStyle w:val="sectionb"/>
        <w:rPr>
          <w:bCs/>
        </w:rPr>
      </w:pPr>
      <w:r w:rsidRPr="00F355C8">
        <w:rPr>
          <w:bCs/>
        </w:rPr>
        <w:t>1.1 Clinical case reports</w:t>
      </w:r>
      <w:bookmarkStart w:id="5" w:name="Line_manu_312"/>
      <w:bookmarkEnd w:id="5"/>
    </w:p>
    <w:p w:rsidR="003738E6" w:rsidRPr="00F355C8" w:rsidRDefault="003738E6" w:rsidP="003738E6">
      <w:pPr>
        <w:pStyle w:val="dummy"/>
        <w:shd w:val="clear" w:color="auto" w:fill="FFFFFF"/>
      </w:pPr>
      <w:r w:rsidRPr="00F355C8">
        <w:rPr>
          <w:i/>
          <w:bdr w:val="none" w:sz="0" w:space="0" w:color="auto" w:frame="1"/>
        </w:rPr>
        <w:t>Patient 1</w:t>
      </w:r>
      <w:bookmarkStart w:id="6" w:name="Line_manu_313"/>
      <w:bookmarkEnd w:id="6"/>
    </w:p>
    <w:p w:rsidR="003738E6" w:rsidRPr="00F355C8" w:rsidRDefault="003738E6" w:rsidP="003738E6">
      <w:pPr>
        <w:pStyle w:val="paragraph"/>
        <w:shd w:val="clear" w:color="auto" w:fill="FFFFFF"/>
      </w:pPr>
      <w:r w:rsidRPr="00F355C8">
        <w:rPr>
          <w:bdr w:val="none" w:sz="0" w:space="0" w:color="auto" w:frame="1"/>
        </w:rPr>
        <w:t>Patient 1 (</w:t>
      </w:r>
      <w:proofErr w:type="spellStart"/>
      <w:r w:rsidRPr="00F355C8">
        <w:rPr>
          <w:bdr w:val="none" w:sz="0" w:space="0" w:color="auto" w:frame="1"/>
        </w:rPr>
        <w:t>P1</w:t>
      </w:r>
      <w:proofErr w:type="spellEnd"/>
      <w:r w:rsidRPr="00F355C8">
        <w:rPr>
          <w:bdr w:val="none" w:sz="0" w:space="0" w:color="auto" w:frame="1"/>
        </w:rPr>
        <w:t>) (</w:t>
      </w:r>
      <w:proofErr w:type="spellStart"/>
      <w:r w:rsidRPr="00F355C8">
        <w:rPr>
          <w:bdr w:val="none" w:sz="0" w:space="0" w:color="auto" w:frame="1"/>
        </w:rPr>
        <w:t>c.1201G</w:t>
      </w:r>
      <w:proofErr w:type="spellEnd"/>
      <w:r w:rsidRPr="00F355C8">
        <w:rPr>
          <w:bdr w:val="none" w:sz="0" w:space="0" w:color="auto" w:frame="1"/>
        </w:rPr>
        <w:t xml:space="preserve">&gt;A, </w:t>
      </w:r>
      <w:proofErr w:type="spellStart"/>
      <w:r w:rsidRPr="00F355C8">
        <w:rPr>
          <w:bdr w:val="none" w:sz="0" w:space="0" w:color="auto" w:frame="1"/>
        </w:rPr>
        <w:t>p.Gly401Ser</w:t>
      </w:r>
      <w:proofErr w:type="spellEnd"/>
      <w:r w:rsidRPr="00F355C8">
        <w:rPr>
          <w:bdr w:val="none" w:sz="0" w:space="0" w:color="auto" w:frame="1"/>
        </w:rPr>
        <w:t xml:space="preserve">), a female, was the first child of non-consanguineous parents. The mother has Factor V Leiden-associated thrombophilia and had suffered nine spontaneous early miscarriages. </w:t>
      </w:r>
      <w:proofErr w:type="spellStart"/>
      <w:r w:rsidRPr="00F355C8">
        <w:rPr>
          <w:bdr w:val="none" w:sz="0" w:space="0" w:color="auto" w:frame="1"/>
        </w:rPr>
        <w:t>Labour</w:t>
      </w:r>
      <w:proofErr w:type="spellEnd"/>
      <w:r w:rsidRPr="00F355C8">
        <w:rPr>
          <w:bdr w:val="none" w:sz="0" w:space="0" w:color="auto" w:frame="1"/>
        </w:rPr>
        <w:t xml:space="preserve"> was induced at 37 weeks gestation following concerns regarding intrauterine growth restriction and birth weight was </w:t>
      </w:r>
      <w:proofErr w:type="spellStart"/>
      <w:r w:rsidRPr="00F355C8">
        <w:rPr>
          <w:bdr w:val="none" w:sz="0" w:space="0" w:color="auto" w:frame="1"/>
        </w:rPr>
        <w:t>2.24kg</w:t>
      </w:r>
      <w:proofErr w:type="spellEnd"/>
      <w:r w:rsidRPr="00F355C8">
        <w:rPr>
          <w:bdr w:val="none" w:sz="0" w:space="0" w:color="auto" w:frame="1"/>
        </w:rPr>
        <w:t xml:space="preserve"> (9</w:t>
      </w:r>
      <w:r w:rsidRPr="00F355C8">
        <w:rPr>
          <w:bdr w:val="none" w:sz="0" w:space="0" w:color="auto" w:frame="1"/>
          <w:vertAlign w:val="superscript"/>
        </w:rPr>
        <w:t>th</w:t>
      </w:r>
      <w:r w:rsidRPr="00F355C8">
        <w:rPr>
          <w:bdr w:val="none" w:sz="0" w:space="0" w:color="auto" w:frame="1"/>
        </w:rPr>
        <w:t xml:space="preserve"> centile). In early infancy she was troubled by feeding difficulties, gastro-</w:t>
      </w:r>
      <w:proofErr w:type="spellStart"/>
      <w:r w:rsidRPr="00F355C8">
        <w:rPr>
          <w:bdr w:val="none" w:sz="0" w:space="0" w:color="auto" w:frame="1"/>
        </w:rPr>
        <w:t>oesophageal</w:t>
      </w:r>
      <w:proofErr w:type="spellEnd"/>
      <w:r w:rsidRPr="00F355C8">
        <w:rPr>
          <w:bdr w:val="none" w:sz="0" w:space="0" w:color="auto" w:frame="1"/>
        </w:rPr>
        <w:t xml:space="preserve"> reflux</w:t>
      </w:r>
      <w:r>
        <w:rPr>
          <w:bdr w:val="none" w:sz="0" w:space="0" w:color="auto" w:frame="1"/>
        </w:rPr>
        <w:t xml:space="preserve">, </w:t>
      </w:r>
      <w:r w:rsidRPr="00F355C8">
        <w:rPr>
          <w:bdr w:val="none" w:sz="0" w:space="0" w:color="auto" w:frame="1"/>
        </w:rPr>
        <w:t xml:space="preserve">faltering growth and had a febrile seizure at 5 months. Ophthalmology assessment at five months of age showed jerky smooth pursuit eye movements but was within normal limits. There was concern regarding her development on account of </w:t>
      </w:r>
      <w:proofErr w:type="spellStart"/>
      <w:r w:rsidRPr="00F355C8">
        <w:rPr>
          <w:bdr w:val="none" w:sz="0" w:space="0" w:color="auto" w:frame="1"/>
        </w:rPr>
        <w:t>hypotonia</w:t>
      </w:r>
      <w:proofErr w:type="spellEnd"/>
      <w:r w:rsidRPr="00F355C8">
        <w:rPr>
          <w:bdr w:val="none" w:sz="0" w:space="0" w:color="auto" w:frame="1"/>
        </w:rPr>
        <w:t xml:space="preserve"> and delayed motor milestones. On developmental assessment at the age of 8 months, she was able to hold her head up but was unable to roll over completely from back to front, and she could only sit with support. She was non-</w:t>
      </w:r>
      <w:proofErr w:type="spellStart"/>
      <w:r w:rsidRPr="00F355C8">
        <w:rPr>
          <w:bdr w:val="none" w:sz="0" w:space="0" w:color="auto" w:frame="1"/>
        </w:rPr>
        <w:t>dysmorphic</w:t>
      </w:r>
      <w:proofErr w:type="spellEnd"/>
      <w:r w:rsidRPr="00F355C8">
        <w:rPr>
          <w:bdr w:val="none" w:sz="0" w:space="0" w:color="auto" w:frame="1"/>
        </w:rPr>
        <w:t xml:space="preserve"> with a head circumference of 41.5 cm (</w:t>
      </w:r>
      <w:proofErr w:type="spellStart"/>
      <w:r w:rsidRPr="00F355C8">
        <w:rPr>
          <w:bdr w:val="none" w:sz="0" w:space="0" w:color="auto" w:frame="1"/>
        </w:rPr>
        <w:t>2</w:t>
      </w:r>
      <w:r w:rsidRPr="00F355C8">
        <w:rPr>
          <w:bdr w:val="none" w:sz="0" w:space="0" w:color="auto" w:frame="1"/>
          <w:vertAlign w:val="superscript"/>
        </w:rPr>
        <w:t>nd</w:t>
      </w:r>
      <w:r w:rsidRPr="00F355C8">
        <w:rPr>
          <w:bdr w:val="none" w:sz="0" w:space="0" w:color="auto" w:frame="1"/>
        </w:rPr>
        <w:t>-9</w:t>
      </w:r>
      <w:r w:rsidRPr="00F355C8">
        <w:rPr>
          <w:bdr w:val="none" w:sz="0" w:space="0" w:color="auto" w:frame="1"/>
          <w:vertAlign w:val="superscript"/>
        </w:rPr>
        <w:t>th</w:t>
      </w:r>
      <w:proofErr w:type="spellEnd"/>
      <w:r w:rsidRPr="00F355C8">
        <w:rPr>
          <w:bdr w:val="none" w:sz="0" w:space="0" w:color="auto" w:frame="1"/>
        </w:rPr>
        <w:t> centile) and a weight of 6.4 kg at 8 months (</w:t>
      </w:r>
      <w:proofErr w:type="spellStart"/>
      <w:r w:rsidRPr="00F355C8">
        <w:rPr>
          <w:bdr w:val="none" w:sz="0" w:space="0" w:color="auto" w:frame="1"/>
        </w:rPr>
        <w:t>2</w:t>
      </w:r>
      <w:r w:rsidRPr="00F355C8">
        <w:rPr>
          <w:bdr w:val="none" w:sz="0" w:space="0" w:color="auto" w:frame="1"/>
          <w:vertAlign w:val="superscript"/>
        </w:rPr>
        <w:t>nd</w:t>
      </w:r>
      <w:r w:rsidRPr="00F355C8">
        <w:rPr>
          <w:bdr w:val="none" w:sz="0" w:space="0" w:color="auto" w:frame="1"/>
        </w:rPr>
        <w:t>-9</w:t>
      </w:r>
      <w:r w:rsidRPr="00F355C8">
        <w:rPr>
          <w:bdr w:val="none" w:sz="0" w:space="0" w:color="auto" w:frame="1"/>
          <w:vertAlign w:val="superscript"/>
        </w:rPr>
        <w:t>th</w:t>
      </w:r>
      <w:proofErr w:type="spellEnd"/>
      <w:r w:rsidRPr="00F355C8">
        <w:rPr>
          <w:bdr w:val="none" w:sz="0" w:space="0" w:color="auto" w:frame="1"/>
        </w:rPr>
        <w:t> centile), with a length measured at 6 months of 62.2 cm (</w:t>
      </w:r>
      <w:proofErr w:type="spellStart"/>
      <w:r w:rsidRPr="00F355C8">
        <w:rPr>
          <w:bdr w:val="none" w:sz="0" w:space="0" w:color="auto" w:frame="1"/>
        </w:rPr>
        <w:t>2</w:t>
      </w:r>
      <w:r w:rsidRPr="00F355C8">
        <w:rPr>
          <w:bdr w:val="none" w:sz="0" w:space="0" w:color="auto" w:frame="1"/>
          <w:vertAlign w:val="superscript"/>
        </w:rPr>
        <w:t>nd</w:t>
      </w:r>
      <w:r w:rsidRPr="00F355C8">
        <w:rPr>
          <w:bdr w:val="none" w:sz="0" w:space="0" w:color="auto" w:frame="1"/>
        </w:rPr>
        <w:t>-9</w:t>
      </w:r>
      <w:r w:rsidRPr="00F355C8">
        <w:rPr>
          <w:bdr w:val="none" w:sz="0" w:space="0" w:color="auto" w:frame="1"/>
          <w:vertAlign w:val="superscript"/>
        </w:rPr>
        <w:t>th</w:t>
      </w:r>
      <w:proofErr w:type="spellEnd"/>
      <w:r w:rsidRPr="00F355C8">
        <w:rPr>
          <w:bdr w:val="none" w:sz="0" w:space="0" w:color="auto" w:frame="1"/>
        </w:rPr>
        <w:t> centile). At the age of 10 months</w:t>
      </w:r>
      <w:r>
        <w:rPr>
          <w:bdr w:val="none" w:sz="0" w:space="0" w:color="auto" w:frame="1"/>
        </w:rPr>
        <w:t>,</w:t>
      </w:r>
      <w:r w:rsidRPr="00F355C8">
        <w:rPr>
          <w:bdr w:val="none" w:sz="0" w:space="0" w:color="auto" w:frame="1"/>
        </w:rPr>
        <w:t xml:space="preserve"> she was admitted to hospital following a 3</w:t>
      </w:r>
      <w:r>
        <w:rPr>
          <w:bdr w:val="none" w:sz="0" w:space="0" w:color="auto" w:frame="1"/>
        </w:rPr>
        <w:t>-</w:t>
      </w:r>
      <w:r w:rsidRPr="00F355C8">
        <w:rPr>
          <w:bdr w:val="none" w:sz="0" w:space="0" w:color="auto" w:frame="1"/>
        </w:rPr>
        <w:t xml:space="preserve">month history of deterioration with reduced feeding, tiredness, rapid breathing, sweating and pallor. On admission she had sinus tachycardia and a lactate </w:t>
      </w:r>
      <w:proofErr w:type="gramStart"/>
      <w:r w:rsidRPr="00F355C8">
        <w:rPr>
          <w:bdr w:val="none" w:sz="0" w:space="0" w:color="auto" w:frame="1"/>
        </w:rPr>
        <w:t xml:space="preserve">of 7.0 </w:t>
      </w:r>
      <w:proofErr w:type="spellStart"/>
      <w:r w:rsidRPr="00F355C8">
        <w:rPr>
          <w:bdr w:val="none" w:sz="0" w:space="0" w:color="auto" w:frame="1"/>
        </w:rPr>
        <w:t>mmol</w:t>
      </w:r>
      <w:proofErr w:type="spellEnd"/>
      <w:r w:rsidRPr="00F355C8">
        <w:rPr>
          <w:bdr w:val="none" w:sz="0" w:space="0" w:color="auto" w:frame="1"/>
        </w:rPr>
        <w:t xml:space="preserve">/L (normal range 0.7-2.1 </w:t>
      </w:r>
      <w:proofErr w:type="spellStart"/>
      <w:r w:rsidRPr="00F355C8">
        <w:rPr>
          <w:bdr w:val="none" w:sz="0" w:space="0" w:color="auto" w:frame="1"/>
        </w:rPr>
        <w:t>mmol</w:t>
      </w:r>
      <w:proofErr w:type="spellEnd"/>
      <w:r w:rsidRPr="00F355C8">
        <w:rPr>
          <w:bdr w:val="none" w:sz="0" w:space="0" w:color="auto" w:frame="1"/>
        </w:rPr>
        <w:t>/L)</w:t>
      </w:r>
      <w:proofErr w:type="gramEnd"/>
      <w:r w:rsidRPr="00F355C8">
        <w:rPr>
          <w:bdr w:val="none" w:sz="0" w:space="0" w:color="auto" w:frame="1"/>
        </w:rPr>
        <w:t xml:space="preserve">. An echocardiogram revealed severe dilated cardiomyopathy with a dilated left ventricle and concentric left ventricular hypertrophy with a </w:t>
      </w:r>
      <w:proofErr w:type="spellStart"/>
      <w:r w:rsidRPr="00F355C8">
        <w:rPr>
          <w:bdr w:val="none" w:sz="0" w:space="0" w:color="auto" w:frame="1"/>
        </w:rPr>
        <w:t>trabeculated</w:t>
      </w:r>
      <w:proofErr w:type="spellEnd"/>
      <w:r w:rsidRPr="00F355C8">
        <w:rPr>
          <w:bdr w:val="none" w:sz="0" w:space="0" w:color="auto" w:frame="1"/>
        </w:rPr>
        <w:t xml:space="preserve"> appearance especially over the apex. The left ventricle showed severe impairment of systolic function (ejection fraction 36%) along with diastolic dysfunction (left ventricular end diastolic diameter 26 mm). Her condition and cardiac function deteriorated, and her treatment became palliative. She passed away shortly after, aged 10 months.</w:t>
      </w:r>
      <w:r w:rsidRPr="00F355C8">
        <w:t xml:space="preserve"> </w:t>
      </w:r>
      <w:proofErr w:type="spellStart"/>
      <w:r w:rsidRPr="00F355C8">
        <w:rPr>
          <w:bdr w:val="none" w:sz="0" w:space="0" w:color="auto" w:frame="1"/>
        </w:rPr>
        <w:t>P1</w:t>
      </w:r>
      <w:proofErr w:type="spellEnd"/>
      <w:r w:rsidRPr="00F355C8">
        <w:rPr>
          <w:bdr w:val="none" w:sz="0" w:space="0" w:color="auto" w:frame="1"/>
        </w:rPr>
        <w:t xml:space="preserve"> has an older maternal half-brother who has a history of non-verbal autism and febrile seizures. Immunology, microbiology and virology investigations did not identify any underlying cause for her cardiomyopathy. Urine organic acid analysis showed mild </w:t>
      </w:r>
      <w:proofErr w:type="spellStart"/>
      <w:r w:rsidRPr="00F355C8">
        <w:rPr>
          <w:bdr w:val="none" w:sz="0" w:space="0" w:color="auto" w:frame="1"/>
        </w:rPr>
        <w:t>ketonuria</w:t>
      </w:r>
      <w:proofErr w:type="spellEnd"/>
      <w:r w:rsidRPr="00F355C8">
        <w:rPr>
          <w:bdr w:val="none" w:sz="0" w:space="0" w:color="auto" w:frame="1"/>
        </w:rPr>
        <w:t xml:space="preserve"> and significant </w:t>
      </w:r>
      <w:proofErr w:type="spellStart"/>
      <w:r w:rsidRPr="00F355C8">
        <w:rPr>
          <w:bdr w:val="none" w:sz="0" w:space="0" w:color="auto" w:frame="1"/>
        </w:rPr>
        <w:t>dicarboxylic</w:t>
      </w:r>
      <w:proofErr w:type="spellEnd"/>
      <w:r w:rsidRPr="00F355C8">
        <w:rPr>
          <w:bdr w:val="none" w:sz="0" w:space="0" w:color="auto" w:frame="1"/>
        </w:rPr>
        <w:t xml:space="preserve"> </w:t>
      </w:r>
      <w:proofErr w:type="spellStart"/>
      <w:r w:rsidRPr="00F355C8">
        <w:rPr>
          <w:bdr w:val="none" w:sz="0" w:space="0" w:color="auto" w:frame="1"/>
        </w:rPr>
        <w:t>aciduria</w:t>
      </w:r>
      <w:proofErr w:type="spellEnd"/>
      <w:r w:rsidRPr="00F355C8">
        <w:rPr>
          <w:bdr w:val="none" w:sz="0" w:space="0" w:color="auto" w:frame="1"/>
        </w:rPr>
        <w:t xml:space="preserve"> consistent with a fasting ketosis and raised 3-</w:t>
      </w:r>
      <w:proofErr w:type="spellStart"/>
      <w:r w:rsidRPr="00F355C8">
        <w:rPr>
          <w:bdr w:val="none" w:sz="0" w:space="0" w:color="auto" w:frame="1"/>
        </w:rPr>
        <w:t>methylglutaconic</w:t>
      </w:r>
      <w:proofErr w:type="spellEnd"/>
      <w:r w:rsidRPr="00F355C8">
        <w:rPr>
          <w:bdr w:val="none" w:sz="0" w:space="0" w:color="auto" w:frame="1"/>
        </w:rPr>
        <w:t xml:space="preserve"> acid, consistent with 3-</w:t>
      </w:r>
      <w:proofErr w:type="spellStart"/>
      <w:r w:rsidRPr="00F355C8">
        <w:rPr>
          <w:bdr w:val="none" w:sz="0" w:space="0" w:color="auto" w:frame="1"/>
        </w:rPr>
        <w:t>methylglutaconic</w:t>
      </w:r>
      <w:proofErr w:type="spellEnd"/>
      <w:r w:rsidRPr="00F355C8">
        <w:rPr>
          <w:bdr w:val="none" w:sz="0" w:space="0" w:color="auto" w:frame="1"/>
        </w:rPr>
        <w:t xml:space="preserve"> </w:t>
      </w:r>
      <w:proofErr w:type="spellStart"/>
      <w:r w:rsidRPr="00F355C8">
        <w:rPr>
          <w:bdr w:val="none" w:sz="0" w:space="0" w:color="auto" w:frame="1"/>
        </w:rPr>
        <w:t>aciduria</w:t>
      </w:r>
      <w:proofErr w:type="spellEnd"/>
      <w:r w:rsidRPr="00F355C8">
        <w:rPr>
          <w:bdr w:val="none" w:sz="0" w:space="0" w:color="auto" w:frame="1"/>
        </w:rPr>
        <w:t xml:space="preserve"> type IV. Notably, these changes were only transiently evident during her acute illness. Bloodspot </w:t>
      </w:r>
      <w:proofErr w:type="spellStart"/>
      <w:r w:rsidRPr="00F355C8">
        <w:rPr>
          <w:bdr w:val="none" w:sz="0" w:space="0" w:color="auto" w:frame="1"/>
        </w:rPr>
        <w:t>acylcarnitines</w:t>
      </w:r>
      <w:proofErr w:type="spellEnd"/>
      <w:r w:rsidRPr="00F355C8">
        <w:rPr>
          <w:bdr w:val="none" w:sz="0" w:space="0" w:color="auto" w:frame="1"/>
        </w:rPr>
        <w:t xml:space="preserve"> showed an increase in </w:t>
      </w:r>
      <w:proofErr w:type="spellStart"/>
      <w:r w:rsidRPr="00F355C8">
        <w:rPr>
          <w:bdr w:val="none" w:sz="0" w:space="0" w:color="auto" w:frame="1"/>
        </w:rPr>
        <w:t>C2-carnitine</w:t>
      </w:r>
      <w:proofErr w:type="spellEnd"/>
      <w:r w:rsidRPr="00F355C8">
        <w:rPr>
          <w:bdr w:val="none" w:sz="0" w:space="0" w:color="auto" w:frame="1"/>
        </w:rPr>
        <w:t xml:space="preserve"> and </w:t>
      </w:r>
      <w:proofErr w:type="spellStart"/>
      <w:r w:rsidRPr="00F355C8">
        <w:rPr>
          <w:bdr w:val="none" w:sz="0" w:space="0" w:color="auto" w:frame="1"/>
        </w:rPr>
        <w:t>C4</w:t>
      </w:r>
      <w:proofErr w:type="spellEnd"/>
      <w:r w:rsidRPr="00F355C8">
        <w:rPr>
          <w:bdr w:val="none" w:sz="0" w:space="0" w:color="auto" w:frame="1"/>
        </w:rPr>
        <w:t>-OH-</w:t>
      </w:r>
      <w:proofErr w:type="spellStart"/>
      <w:r w:rsidRPr="00F355C8">
        <w:rPr>
          <w:bdr w:val="none" w:sz="0" w:space="0" w:color="auto" w:frame="1"/>
        </w:rPr>
        <w:t>carnitine</w:t>
      </w:r>
      <w:proofErr w:type="spellEnd"/>
      <w:r w:rsidRPr="00F355C8">
        <w:rPr>
          <w:bdr w:val="none" w:sz="0" w:space="0" w:color="auto" w:frame="1"/>
        </w:rPr>
        <w:t xml:space="preserve"> consistent with a </w:t>
      </w:r>
      <w:proofErr w:type="spellStart"/>
      <w:r w:rsidRPr="00F355C8">
        <w:rPr>
          <w:bdr w:val="none" w:sz="0" w:space="0" w:color="auto" w:frame="1"/>
        </w:rPr>
        <w:t>ketogenic</w:t>
      </w:r>
      <w:proofErr w:type="spellEnd"/>
      <w:r w:rsidRPr="00F355C8">
        <w:rPr>
          <w:bdr w:val="none" w:sz="0" w:space="0" w:color="auto" w:frame="1"/>
        </w:rPr>
        <w:t xml:space="preserve"> response to metabolic stress. Brain magnetic resonance imaging (MRI) showed no definite features of </w:t>
      </w:r>
      <w:proofErr w:type="spellStart"/>
      <w:r w:rsidRPr="00F355C8">
        <w:rPr>
          <w:bdr w:val="none" w:sz="0" w:space="0" w:color="auto" w:frame="1"/>
        </w:rPr>
        <w:t>leukodystrophy</w:t>
      </w:r>
      <w:proofErr w:type="spellEnd"/>
      <w:r w:rsidRPr="00F355C8">
        <w:rPr>
          <w:bdr w:val="none" w:sz="0" w:space="0" w:color="auto" w:frame="1"/>
        </w:rPr>
        <w:t xml:space="preserve"> or basal ganglia signal abnormality, although there was equivocal </w:t>
      </w:r>
      <w:proofErr w:type="spellStart"/>
      <w:r w:rsidRPr="00F355C8">
        <w:rPr>
          <w:bdr w:val="none" w:sz="0" w:space="0" w:color="auto" w:frame="1"/>
        </w:rPr>
        <w:t>pallidal</w:t>
      </w:r>
      <w:proofErr w:type="spellEnd"/>
      <w:r w:rsidRPr="00F355C8">
        <w:rPr>
          <w:bdr w:val="none" w:sz="0" w:space="0" w:color="auto" w:frame="1"/>
        </w:rPr>
        <w:t xml:space="preserve"> high signal and mild thinning of the corpus callosum. </w:t>
      </w:r>
      <w:bookmarkStart w:id="7" w:name="Line_manu_314"/>
      <w:bookmarkEnd w:id="7"/>
    </w:p>
    <w:p w:rsidR="003738E6" w:rsidRPr="00F355C8" w:rsidRDefault="003738E6" w:rsidP="003738E6">
      <w:pPr>
        <w:pStyle w:val="dummy"/>
      </w:pPr>
      <w:r w:rsidRPr="00F355C8">
        <w:rPr>
          <w:i/>
        </w:rPr>
        <w:t>Patient 2</w:t>
      </w:r>
      <w:bookmarkStart w:id="8" w:name="Line_manu_316"/>
      <w:bookmarkEnd w:id="8"/>
    </w:p>
    <w:p w:rsidR="003738E6" w:rsidRPr="00F355C8" w:rsidRDefault="003738E6" w:rsidP="003738E6">
      <w:pPr>
        <w:pStyle w:val="paragraph"/>
      </w:pPr>
      <w:r w:rsidRPr="00F355C8">
        <w:t>Patient 2 (</w:t>
      </w:r>
      <w:proofErr w:type="spellStart"/>
      <w:r w:rsidRPr="00F355C8">
        <w:t>P2</w:t>
      </w:r>
      <w:proofErr w:type="spellEnd"/>
      <w:r w:rsidRPr="00F355C8">
        <w:t>) (</w:t>
      </w:r>
      <w:proofErr w:type="spellStart"/>
      <w:r w:rsidRPr="00F355C8">
        <w:t>c.1088G</w:t>
      </w:r>
      <w:proofErr w:type="spellEnd"/>
      <w:r w:rsidRPr="00F355C8">
        <w:t xml:space="preserve">&gt;A, </w:t>
      </w:r>
      <w:proofErr w:type="spellStart"/>
      <w:r w:rsidRPr="00F355C8">
        <w:t>p.Gly363Asp</w:t>
      </w:r>
      <w:proofErr w:type="spellEnd"/>
      <w:r w:rsidRPr="00F355C8">
        <w:t xml:space="preserve">) was the first child of non-consanguineous parents and there was no family history of note on either side. </w:t>
      </w:r>
      <w:proofErr w:type="spellStart"/>
      <w:r w:rsidRPr="00F355C8">
        <w:t>Antenatally</w:t>
      </w:r>
      <w:proofErr w:type="spellEnd"/>
      <w:r w:rsidRPr="00F355C8">
        <w:t>, there were significant concerns about growth which prompted delivery by caesarean section at 34+4 weeks gestation. Her birth weight was 1660 g (</w:t>
      </w:r>
      <w:proofErr w:type="spellStart"/>
      <w:r w:rsidRPr="00F355C8">
        <w:t>2</w:t>
      </w:r>
      <w:r w:rsidRPr="00F355C8">
        <w:rPr>
          <w:vertAlign w:val="superscript"/>
        </w:rPr>
        <w:t>nd</w:t>
      </w:r>
      <w:r w:rsidRPr="00F355C8">
        <w:t>-9</w:t>
      </w:r>
      <w:r w:rsidRPr="00F355C8">
        <w:rPr>
          <w:vertAlign w:val="superscript"/>
        </w:rPr>
        <w:t>th</w:t>
      </w:r>
      <w:proofErr w:type="spellEnd"/>
      <w:r w:rsidRPr="00F355C8">
        <w:t xml:space="preserve"> centile) and head circumference was 31</w:t>
      </w:r>
      <w:r>
        <w:t xml:space="preserve"> </w:t>
      </w:r>
      <w:r w:rsidRPr="00F355C8">
        <w:t>cm (25</w:t>
      </w:r>
      <w:r w:rsidRPr="00F355C8">
        <w:rPr>
          <w:vertAlign w:val="superscript"/>
        </w:rPr>
        <w:t>th</w:t>
      </w:r>
      <w:r w:rsidRPr="00F355C8">
        <w:t xml:space="preserve"> centile). No resuscitation was required but she spent 4 weeks in the Special Care Baby Unit. At 17 weeks of age (corrected age 11 weeks) her weight was 3.89 kg (</w:t>
      </w:r>
      <w:proofErr w:type="spellStart"/>
      <w:r w:rsidRPr="00F355C8">
        <w:t>0.4</w:t>
      </w:r>
      <w:r w:rsidRPr="00F355C8">
        <w:rPr>
          <w:vertAlign w:val="superscript"/>
        </w:rPr>
        <w:t>th</w:t>
      </w:r>
      <w:proofErr w:type="spellEnd"/>
      <w:r w:rsidRPr="00F355C8">
        <w:t xml:space="preserve"> centile) her height and head circumference were also on the </w:t>
      </w:r>
      <w:proofErr w:type="spellStart"/>
      <w:r w:rsidRPr="00F355C8">
        <w:t>0.4</w:t>
      </w:r>
      <w:r w:rsidRPr="00F355C8">
        <w:rPr>
          <w:vertAlign w:val="superscript"/>
        </w:rPr>
        <w:t>th</w:t>
      </w:r>
      <w:proofErr w:type="spellEnd"/>
      <w:r w:rsidRPr="00F355C8">
        <w:t xml:space="preserve"> centile. At 21 weeks (corrected age 15 weeks) she developed infantile spasms and was admitted to hospital where she had a respiratory arrest. She showed a slow response to steroids and adrenocorticotropic hormone (ACTH). </w:t>
      </w:r>
      <w:r w:rsidRPr="00F355C8">
        <w:lastRenderedPageBreak/>
        <w:t>Developmentally, there were concerns regarding vision and development,</w:t>
      </w:r>
      <w:r>
        <w:t xml:space="preserve"> as</w:t>
      </w:r>
      <w:r w:rsidRPr="00F355C8">
        <w:t xml:space="preserve"> she was not smiling, or fixing and following. On examination at 24 weeks, she had microcephaly, arched eyebrows with </w:t>
      </w:r>
      <w:proofErr w:type="spellStart"/>
      <w:r w:rsidRPr="00F355C8">
        <w:t>upslanting</w:t>
      </w:r>
      <w:proofErr w:type="spellEnd"/>
      <w:r w:rsidRPr="00F355C8">
        <w:t xml:space="preserve"> palpebral fissures, </w:t>
      </w:r>
      <w:r>
        <w:t xml:space="preserve">and </w:t>
      </w:r>
      <w:proofErr w:type="spellStart"/>
      <w:r w:rsidRPr="00F355C8">
        <w:t>micrognathia</w:t>
      </w:r>
      <w:proofErr w:type="spellEnd"/>
      <w:r w:rsidRPr="00F355C8">
        <w:t xml:space="preserve">. She had increased tone, with clenched hands and adducted thumbs. Her condition deteriorated and she died at the age of 13 months. Investigations showed raised lactate in cerebrospinal fluid (CSF), 5.5 </w:t>
      </w:r>
      <w:proofErr w:type="spellStart"/>
      <w:r w:rsidRPr="00F355C8">
        <w:t>mmol</w:t>
      </w:r>
      <w:proofErr w:type="spellEnd"/>
      <w:r w:rsidRPr="00F355C8">
        <w:t xml:space="preserve">/L (normal range 1.2-2.1 </w:t>
      </w:r>
      <w:proofErr w:type="spellStart"/>
      <w:r w:rsidRPr="00F355C8">
        <w:t>mmol</w:t>
      </w:r>
      <w:proofErr w:type="spellEnd"/>
      <w:r w:rsidRPr="00F355C8">
        <w:t xml:space="preserve">/L), and plasma 4.6 </w:t>
      </w:r>
      <w:proofErr w:type="spellStart"/>
      <w:r w:rsidRPr="00F355C8">
        <w:t>mmol</w:t>
      </w:r>
      <w:proofErr w:type="spellEnd"/>
      <w:r w:rsidRPr="00F355C8">
        <w:t xml:space="preserve">/L (normal range 0.7-2.1 </w:t>
      </w:r>
      <w:proofErr w:type="spellStart"/>
      <w:r w:rsidRPr="00F355C8">
        <w:t>mmol</w:t>
      </w:r>
      <w:proofErr w:type="spellEnd"/>
      <w:r w:rsidRPr="00F355C8">
        <w:t xml:space="preserve">/L) rising to </w:t>
      </w:r>
      <w:proofErr w:type="spellStart"/>
      <w:r w:rsidRPr="00F355C8">
        <w:t>7.0mmol</w:t>
      </w:r>
      <w:proofErr w:type="spellEnd"/>
      <w:r w:rsidRPr="00F355C8">
        <w:t xml:space="preserve">/L after 24 hours. Brain MRI showed hypoplasia of the corpus callosum and mild benign external hydrocephalus. </w:t>
      </w:r>
      <w:r w:rsidRPr="00F355C8">
        <w:rPr>
          <w:shd w:val="clear" w:color="auto" w:fill="FFFFFF"/>
        </w:rPr>
        <w:t xml:space="preserve">Electroencephalogram (EEG) </w:t>
      </w:r>
      <w:r w:rsidRPr="00F355C8">
        <w:t xml:space="preserve">indicated </w:t>
      </w:r>
      <w:proofErr w:type="spellStart"/>
      <w:r w:rsidRPr="00F355C8">
        <w:t>hypsarrthythmia</w:t>
      </w:r>
      <w:proofErr w:type="spellEnd"/>
      <w:r w:rsidRPr="00F355C8">
        <w:t xml:space="preserve"> and echocardiogram revealed mild left ventricular hypertrophy.</w:t>
      </w:r>
      <w:bookmarkStart w:id="9" w:name="Line_manu_317"/>
      <w:bookmarkEnd w:id="9"/>
    </w:p>
    <w:p w:rsidR="003738E6" w:rsidRPr="00F355C8" w:rsidRDefault="003738E6" w:rsidP="003738E6">
      <w:pPr>
        <w:pStyle w:val="dummy"/>
      </w:pPr>
      <w:r w:rsidRPr="00F355C8">
        <w:rPr>
          <w:i/>
        </w:rPr>
        <w:t>Patient 3</w:t>
      </w:r>
      <w:bookmarkStart w:id="10" w:name="Line_manu_318"/>
      <w:bookmarkEnd w:id="10"/>
    </w:p>
    <w:p w:rsidR="003738E6" w:rsidRPr="00F355C8" w:rsidRDefault="003738E6" w:rsidP="003738E6">
      <w:pPr>
        <w:pStyle w:val="paragraph"/>
      </w:pPr>
      <w:r w:rsidRPr="00F355C8">
        <w:t>Patient 3 (</w:t>
      </w:r>
      <w:proofErr w:type="spellStart"/>
      <w:r w:rsidRPr="00F355C8">
        <w:t>P3</w:t>
      </w:r>
      <w:proofErr w:type="spellEnd"/>
      <w:r w:rsidRPr="00F355C8">
        <w:t>) (</w:t>
      </w:r>
      <w:proofErr w:type="spellStart"/>
      <w:r w:rsidRPr="00F355C8">
        <w:t>c.687_689dupATT</w:t>
      </w:r>
      <w:proofErr w:type="spellEnd"/>
      <w:r w:rsidRPr="00F355C8">
        <w:t xml:space="preserve">, </w:t>
      </w:r>
      <w:proofErr w:type="spellStart"/>
      <w:r w:rsidRPr="00F355C8">
        <w:t>p.Leu230dup</w:t>
      </w:r>
      <w:proofErr w:type="spellEnd"/>
      <w:r w:rsidRPr="00F355C8">
        <w:t xml:space="preserve">) was born to healthy non-consanguineous parents. She has a healthy brother and a healthy, non-identical, twin sister. </w:t>
      </w:r>
      <w:proofErr w:type="spellStart"/>
      <w:r w:rsidRPr="00F355C8">
        <w:t>P3</w:t>
      </w:r>
      <w:proofErr w:type="spellEnd"/>
      <w:r w:rsidRPr="00F355C8">
        <w:t xml:space="preserve"> first presented at 6 years of age with chronic ataxia and mild learning difficulties. </w:t>
      </w:r>
      <w:proofErr w:type="spellStart"/>
      <w:r w:rsidRPr="00F355C8">
        <w:t>P3</w:t>
      </w:r>
      <w:proofErr w:type="spellEnd"/>
      <w:r w:rsidRPr="00F355C8">
        <w:t xml:space="preserve"> developed left sided chorea and at 11 years of age, she had 3 </w:t>
      </w:r>
      <w:proofErr w:type="spellStart"/>
      <w:r w:rsidRPr="00F355C8">
        <w:t>generalised</w:t>
      </w:r>
      <w:proofErr w:type="spellEnd"/>
      <w:r w:rsidRPr="00F355C8">
        <w:t xml:space="preserve"> tonic-</w:t>
      </w:r>
      <w:proofErr w:type="spellStart"/>
      <w:r w:rsidRPr="00F355C8">
        <w:t>clonic</w:t>
      </w:r>
      <w:proofErr w:type="spellEnd"/>
      <w:r w:rsidRPr="00F355C8">
        <w:t xml:space="preserve"> convulsions. EEG showed frequent multifocal spike and wave activity with </w:t>
      </w:r>
      <w:proofErr w:type="spellStart"/>
      <w:r w:rsidRPr="00F355C8">
        <w:t>fronto</w:t>
      </w:r>
      <w:proofErr w:type="spellEnd"/>
      <w:r w:rsidRPr="00F355C8">
        <w:t xml:space="preserve">-central emphasis and she was started on </w:t>
      </w:r>
      <w:proofErr w:type="spellStart"/>
      <w:r w:rsidRPr="00F355C8">
        <w:t>levetiracetam</w:t>
      </w:r>
      <w:proofErr w:type="spellEnd"/>
      <w:r w:rsidRPr="00F355C8">
        <w:t xml:space="preserve">. Between 12 and 16 years of age, she had several admissions with status </w:t>
      </w:r>
      <w:proofErr w:type="spellStart"/>
      <w:r w:rsidRPr="00F355C8">
        <w:t>epilepticus</w:t>
      </w:r>
      <w:proofErr w:type="spellEnd"/>
      <w:r w:rsidRPr="00F355C8">
        <w:t xml:space="preserve"> or </w:t>
      </w:r>
      <w:proofErr w:type="spellStart"/>
      <w:r w:rsidRPr="00F355C8">
        <w:t>epilepsia</w:t>
      </w:r>
      <w:proofErr w:type="spellEnd"/>
      <w:r w:rsidRPr="00F355C8">
        <w:t xml:space="preserve"> </w:t>
      </w:r>
      <w:proofErr w:type="spellStart"/>
      <w:r w:rsidRPr="00F355C8">
        <w:t>partialis</w:t>
      </w:r>
      <w:proofErr w:type="spellEnd"/>
      <w:r w:rsidRPr="00F355C8">
        <w:t xml:space="preserve"> continua, with clonus of the left side of her face and arm. Between these episodes, she had moderately frequent focal seizures, such as left-sided facial </w:t>
      </w:r>
      <w:proofErr w:type="spellStart"/>
      <w:r w:rsidRPr="00F355C8">
        <w:t>clonic</w:t>
      </w:r>
      <w:proofErr w:type="spellEnd"/>
      <w:r w:rsidRPr="00F355C8">
        <w:t xml:space="preserve"> twitching without loss of consciousness. Various combinations of anticonvulsants were tried, along with a modified </w:t>
      </w:r>
      <w:proofErr w:type="spellStart"/>
      <w:r w:rsidRPr="00F355C8">
        <w:t>MCT</w:t>
      </w:r>
      <w:proofErr w:type="spellEnd"/>
      <w:r w:rsidRPr="00F355C8">
        <w:t xml:space="preserve">-based </w:t>
      </w:r>
      <w:proofErr w:type="spellStart"/>
      <w:r w:rsidRPr="00F355C8">
        <w:t>ketogenic</w:t>
      </w:r>
      <w:proofErr w:type="spellEnd"/>
      <w:r w:rsidRPr="00F355C8">
        <w:t xml:space="preserve"> diet and subsequently </w:t>
      </w:r>
      <w:proofErr w:type="spellStart"/>
      <w:r w:rsidRPr="00F355C8">
        <w:t>vagus</w:t>
      </w:r>
      <w:proofErr w:type="spellEnd"/>
      <w:r w:rsidRPr="00F355C8">
        <w:t xml:space="preserve"> nerve stimulation. She developed nocturnal enuresis at 12 years of age, associated with an unstable bladder. Over the next 2 years, her gait deteriorated and she developed dysarthria. At 15 years, she required a keyboard or a scribe for writing. Over the next 2 years, she developed dysphagia requiring gastrostomy-feeding, a motor axonal neuropathy, pain in her right leg probably from increased tone with a fixed flexion contracture of her right knee. MRI showed myositis </w:t>
      </w:r>
      <w:proofErr w:type="spellStart"/>
      <w:r w:rsidRPr="00F355C8">
        <w:t>ossificans</w:t>
      </w:r>
      <w:proofErr w:type="spellEnd"/>
      <w:r w:rsidRPr="00F355C8">
        <w:t xml:space="preserve"> with </w:t>
      </w:r>
      <w:proofErr w:type="spellStart"/>
      <w:r w:rsidRPr="00F355C8">
        <w:t>oedema</w:t>
      </w:r>
      <w:proofErr w:type="spellEnd"/>
      <w:r w:rsidRPr="00F355C8">
        <w:t xml:space="preserve"> and pockets of fluid in the erector </w:t>
      </w:r>
      <w:proofErr w:type="spellStart"/>
      <w:r w:rsidRPr="00F355C8">
        <w:t>spinae</w:t>
      </w:r>
      <w:proofErr w:type="spellEnd"/>
      <w:r w:rsidRPr="00F355C8">
        <w:t xml:space="preserve">, gluteal and thigh muscles. At 18 years of age, communication was limited, and she had dystonia and myoclonus. She died aged 20 years. She had mild microcephaly (head circumference between </w:t>
      </w:r>
      <w:proofErr w:type="spellStart"/>
      <w:r w:rsidRPr="00F355C8">
        <w:t>0.4</w:t>
      </w:r>
      <w:r w:rsidRPr="00F355C8">
        <w:rPr>
          <w:vertAlign w:val="superscript"/>
        </w:rPr>
        <w:t>th</w:t>
      </w:r>
      <w:proofErr w:type="spellEnd"/>
      <w:r w:rsidRPr="00F355C8">
        <w:t xml:space="preserve"> &amp; 2</w:t>
      </w:r>
      <w:r w:rsidRPr="00F355C8">
        <w:rPr>
          <w:vertAlign w:val="superscript"/>
        </w:rPr>
        <w:t>nd</w:t>
      </w:r>
      <w:r w:rsidRPr="00F355C8">
        <w:t xml:space="preserve"> centiles). Cranial MRI was normal initially, but she subsequently showed cerebellar atrophy and mild atrophy of the cerebral hemispheres. There was persistent </w:t>
      </w:r>
      <w:proofErr w:type="spellStart"/>
      <w:r w:rsidRPr="00F355C8">
        <w:t>lymphopenia</w:t>
      </w:r>
      <w:proofErr w:type="spellEnd"/>
      <w:r w:rsidRPr="00F355C8">
        <w:t xml:space="preserve">. Blood and CSF lactate concentrations were normal at 1.5 </w:t>
      </w:r>
      <w:proofErr w:type="spellStart"/>
      <w:r w:rsidRPr="00F355C8">
        <w:t>mmol</w:t>
      </w:r>
      <w:proofErr w:type="spellEnd"/>
      <w:r w:rsidRPr="00F355C8">
        <w:t xml:space="preserve">/L (normal range 0.7-2.1 </w:t>
      </w:r>
      <w:proofErr w:type="spellStart"/>
      <w:r w:rsidRPr="00F355C8">
        <w:t>mmol</w:t>
      </w:r>
      <w:proofErr w:type="spellEnd"/>
      <w:r w:rsidRPr="00F355C8">
        <w:t xml:space="preserve">/L) and 1.3 </w:t>
      </w:r>
      <w:proofErr w:type="spellStart"/>
      <w:r w:rsidRPr="00F355C8">
        <w:t>mmol</w:t>
      </w:r>
      <w:proofErr w:type="spellEnd"/>
      <w:r w:rsidRPr="00F355C8">
        <w:t xml:space="preserve">/L (normal range 1.2-2.1 </w:t>
      </w:r>
      <w:proofErr w:type="spellStart"/>
      <w:r w:rsidRPr="00F355C8">
        <w:t>mmol</w:t>
      </w:r>
      <w:proofErr w:type="spellEnd"/>
      <w:r w:rsidRPr="00F355C8">
        <w:t xml:space="preserve">/L), respectively, at 12 years of age, as were the glucose concentrations (5.6 and 4.2 </w:t>
      </w:r>
      <w:proofErr w:type="spellStart"/>
      <w:r w:rsidRPr="00F355C8">
        <w:t>mmol</w:t>
      </w:r>
      <w:proofErr w:type="spellEnd"/>
      <w:r w:rsidRPr="00F355C8">
        <w:t xml:space="preserve">/L (normal range 4.0-7.0 </w:t>
      </w:r>
      <w:proofErr w:type="spellStart"/>
      <w:r w:rsidRPr="00F355C8">
        <w:t>mmol</w:t>
      </w:r>
      <w:proofErr w:type="spellEnd"/>
      <w:r w:rsidRPr="00F355C8">
        <w:t>/L)). Urine organic acid and plasma amino acid analyses were also normal.</w:t>
      </w:r>
      <w:bookmarkStart w:id="11" w:name="Line_manu_319"/>
      <w:bookmarkEnd w:id="11"/>
    </w:p>
    <w:p w:rsidR="003738E6" w:rsidRPr="00F355C8" w:rsidRDefault="003738E6" w:rsidP="003738E6">
      <w:pPr>
        <w:pStyle w:val="dummy"/>
      </w:pPr>
      <w:r w:rsidRPr="00F355C8">
        <w:rPr>
          <w:i/>
        </w:rPr>
        <w:t>Patient 4</w:t>
      </w:r>
      <w:bookmarkStart w:id="12" w:name="Line_manu_320"/>
      <w:bookmarkEnd w:id="12"/>
    </w:p>
    <w:p w:rsidR="003738E6" w:rsidRPr="00F355C8" w:rsidRDefault="003738E6" w:rsidP="003738E6">
      <w:pPr>
        <w:pStyle w:val="paragraph"/>
      </w:pPr>
      <w:r w:rsidRPr="00F355C8">
        <w:t>Patient 4 (</w:t>
      </w:r>
      <w:proofErr w:type="spellStart"/>
      <w:r w:rsidRPr="00F355C8">
        <w:t>P4</w:t>
      </w:r>
      <w:proofErr w:type="spellEnd"/>
      <w:r w:rsidRPr="00F355C8">
        <w:t>) (</w:t>
      </w:r>
      <w:proofErr w:type="spellStart"/>
      <w:r w:rsidRPr="00F355C8">
        <w:t>c.2128A</w:t>
      </w:r>
      <w:proofErr w:type="spellEnd"/>
      <w:r w:rsidRPr="00F355C8">
        <w:t xml:space="preserve">&gt;G, </w:t>
      </w:r>
      <w:proofErr w:type="spellStart"/>
      <w:r w:rsidRPr="00F355C8">
        <w:t>p.Arg710Gly</w:t>
      </w:r>
      <w:proofErr w:type="spellEnd"/>
      <w:r w:rsidRPr="00F355C8">
        <w:t xml:space="preserve">) was born to non-consanguineous parents and has a healthy older sibling. The mother has coeliac disease and there is no relevant family history. </w:t>
      </w:r>
      <w:proofErr w:type="spellStart"/>
      <w:r w:rsidRPr="00F355C8">
        <w:t>P4</w:t>
      </w:r>
      <w:proofErr w:type="spellEnd"/>
      <w:r w:rsidRPr="00F355C8">
        <w:t xml:space="preserve"> was born at 35 weeks gestation by emergency caesarean section following a pregnancy that was complicated by gestational diabetes. He weighed 3.2 kg. He was </w:t>
      </w:r>
      <w:proofErr w:type="spellStart"/>
      <w:r w:rsidRPr="00F355C8">
        <w:t>hypoglycaemic</w:t>
      </w:r>
      <w:proofErr w:type="spellEnd"/>
      <w:r w:rsidRPr="00F355C8">
        <w:t xml:space="preserve"> and was admitted to the Neonatal Intensive Care Unit where a left-sided ptosis led to a diagnosis of a congenital Horner’s syndrome. He did not require artificial ventilation and bottle fed satisfactorily. He made good progress with motor skills initially, sitting at 8 months, but did not walk independently until 3-years when he had an ataxic gait. MRI of the brain at 1 and 2 years of age were normal. His left-sided ptosis was surgically corrected at 4 years of age at a time when “cryptogenic” epilepsy was diagnosed. Around this time</w:t>
      </w:r>
      <w:r>
        <w:t>,</w:t>
      </w:r>
      <w:r w:rsidRPr="00F355C8">
        <w:t xml:space="preserve"> bilateral optic atrophy was identified; this remained stable with little impact on functional vision. MRI of the brain at the age of 5 years had subtle abnormalities in the parasagittal region of both hemispheres, suggestive of </w:t>
      </w:r>
      <w:proofErr w:type="spellStart"/>
      <w:r w:rsidRPr="00F355C8">
        <w:t>ulegyria</w:t>
      </w:r>
      <w:proofErr w:type="spellEnd"/>
      <w:r w:rsidRPr="00F355C8">
        <w:t xml:space="preserve">. An extrapyramidal movement disorder began in his legs at 7 years and slowly progressed to his upper limbs by the age of 9 years. Scoliosis repair at age 8 years was followed by a loss of independent mobility. A severe aspiration pneumonia at 9 years of age required intensive care support and following </w:t>
      </w:r>
      <w:proofErr w:type="spellStart"/>
      <w:r w:rsidRPr="00F355C8">
        <w:t>videofluoroscopic</w:t>
      </w:r>
      <w:proofErr w:type="spellEnd"/>
      <w:r w:rsidRPr="00F355C8">
        <w:t xml:space="preserve"> confirmation of dysphagia he had a PEG inserted. Later that year electromyography and nerve conduction studies showed a severe underlying sensory-motor peripheral neuropathy, along with findings indicative of a superimposed demyelinating neuropathy. Regular (6 weekly) infusions of intravenous immunoglobulin were commenced with good effect and were continued for almost 4 years. </w:t>
      </w:r>
      <w:r w:rsidRPr="00F355C8">
        <w:lastRenderedPageBreak/>
        <w:t xml:space="preserve">Further spinal surgery at the age of 11 years was followed by marked functional deterioration and profound gut </w:t>
      </w:r>
      <w:proofErr w:type="spellStart"/>
      <w:r w:rsidRPr="00F355C8">
        <w:t>dysmotility</w:t>
      </w:r>
      <w:proofErr w:type="spellEnd"/>
      <w:r w:rsidRPr="00F355C8">
        <w:t xml:space="preserve"> to the point of intestinal failure requiring total parenteral nutrition</w:t>
      </w:r>
      <w:r>
        <w:t>,</w:t>
      </w:r>
      <w:r w:rsidRPr="00F355C8">
        <w:t xml:space="preserve"> upon which he remained dependent</w:t>
      </w:r>
      <w:r>
        <w:t>,</w:t>
      </w:r>
      <w:r w:rsidRPr="00F355C8">
        <w:t xml:space="preserve"> and latterly a requirement for opioid analgesia to manage abdominal pain. L-Dopa treatment had some positive impact on his dystonia, rigidity and involuntary movement. A clinical assessment at the age of 16 years revealed an </w:t>
      </w:r>
      <w:proofErr w:type="spellStart"/>
      <w:r w:rsidRPr="00F355C8">
        <w:t>occipitofrontal</w:t>
      </w:r>
      <w:proofErr w:type="spellEnd"/>
      <w:r w:rsidRPr="00F355C8">
        <w:t xml:space="preserve"> head circumference of 53.9 cm and a weight of 34.1 kg. Neurologically, he had no independent mobility and used an electric wheelchair. Both upper limbs were held in an adducted and flexed position at elbows and wrists. Fine motor skills were impaired, though he did manage to use phone and tablets. He had very restricted movements at knees and ankles bilaterally. Cognitively he remained good and communicated effectively. He had infrequent epileptic seizures with focal onset and secondary </w:t>
      </w:r>
      <w:proofErr w:type="spellStart"/>
      <w:r w:rsidRPr="00F355C8">
        <w:t>generalisation</w:t>
      </w:r>
      <w:proofErr w:type="spellEnd"/>
      <w:r w:rsidRPr="00F355C8">
        <w:t xml:space="preserve"> but did not take anticonvulsant medication. At the age of 17 years, he deteriorated over the course of several months with severe abdominal pain, increasingly frequent seizures and progressive encephalopathy. </w:t>
      </w:r>
      <w:proofErr w:type="spellStart"/>
      <w:r w:rsidRPr="00F355C8">
        <w:t>TPN</w:t>
      </w:r>
      <w:proofErr w:type="spellEnd"/>
      <w:r w:rsidRPr="00F355C8">
        <w:t xml:space="preserve"> was thought to be prolonging an intolerable life and, following discussion with the family and wider clinical team, was withdrawn 4 weeks prior to his death in a hospice.</w:t>
      </w:r>
      <w:bookmarkStart w:id="13" w:name="Line_manu_321"/>
      <w:bookmarkEnd w:id="13"/>
    </w:p>
    <w:p w:rsidR="003738E6" w:rsidRPr="00F355C8" w:rsidRDefault="003738E6" w:rsidP="003738E6">
      <w:pPr>
        <w:pStyle w:val="dummy"/>
        <w:rPr>
          <w:iCs/>
        </w:rPr>
      </w:pPr>
      <w:r w:rsidRPr="00F355C8">
        <w:rPr>
          <w:i/>
          <w:iCs/>
        </w:rPr>
        <w:t>Patient 5</w:t>
      </w:r>
      <w:bookmarkStart w:id="14" w:name="Line_manu_322"/>
      <w:bookmarkEnd w:id="14"/>
    </w:p>
    <w:p w:rsidR="003738E6" w:rsidRPr="00F355C8" w:rsidRDefault="003738E6" w:rsidP="003738E6">
      <w:pPr>
        <w:pStyle w:val="paragraph"/>
      </w:pPr>
      <w:r w:rsidRPr="00F355C8">
        <w:t>Patient 5 (</w:t>
      </w:r>
      <w:proofErr w:type="spellStart"/>
      <w:r w:rsidRPr="00F355C8">
        <w:t>P5</w:t>
      </w:r>
      <w:proofErr w:type="spellEnd"/>
      <w:r w:rsidRPr="00F355C8">
        <w:t>) (</w:t>
      </w:r>
      <w:proofErr w:type="spellStart"/>
      <w:r w:rsidRPr="00F355C8">
        <w:t>c.1201G</w:t>
      </w:r>
      <w:proofErr w:type="spellEnd"/>
      <w:r w:rsidRPr="00F355C8">
        <w:t xml:space="preserve">&gt;A, </w:t>
      </w:r>
      <w:proofErr w:type="spellStart"/>
      <w:r w:rsidRPr="00F355C8">
        <w:t>p.Gly401Ser</w:t>
      </w:r>
      <w:proofErr w:type="spellEnd"/>
      <w:r w:rsidRPr="00F355C8">
        <w:t xml:space="preserve">) is the first child of non-consanguineous white European parents, who presented with early onset epileptic encephalopathy with two episodes of status </w:t>
      </w:r>
      <w:proofErr w:type="spellStart"/>
      <w:r w:rsidRPr="00F355C8">
        <w:t>epilepticus</w:t>
      </w:r>
      <w:proofErr w:type="spellEnd"/>
      <w:r w:rsidRPr="00F355C8">
        <w:t xml:space="preserve"> at the age of 2 years and 9 months. He was originally referred for global developmental delay with significant delay in motor skills, speech and to some extent intellectual skills. He presented with a prolonged convulsive seizure (status </w:t>
      </w:r>
      <w:proofErr w:type="spellStart"/>
      <w:r w:rsidRPr="00F355C8">
        <w:t>epilepticus</w:t>
      </w:r>
      <w:proofErr w:type="spellEnd"/>
      <w:r w:rsidRPr="00F355C8">
        <w:t xml:space="preserve">), which was controlled with medication. He was intubated, ventilated, and transferred to </w:t>
      </w:r>
      <w:proofErr w:type="spellStart"/>
      <w:r w:rsidRPr="00F355C8">
        <w:t>ITU</w:t>
      </w:r>
      <w:proofErr w:type="spellEnd"/>
      <w:r w:rsidRPr="00F355C8">
        <w:t xml:space="preserve"> for further care. Detailed </w:t>
      </w:r>
      <w:proofErr w:type="spellStart"/>
      <w:r w:rsidRPr="00F355C8">
        <w:t>neurometabolic</w:t>
      </w:r>
      <w:proofErr w:type="spellEnd"/>
      <w:r w:rsidRPr="00F355C8">
        <w:t xml:space="preserve"> screening involving lactate and pyruvate in the cerebrospinal fluid and neuroimaging were all normal. He also presented with ongoing </w:t>
      </w:r>
      <w:proofErr w:type="spellStart"/>
      <w:r w:rsidRPr="00F355C8">
        <w:t>semirhythmic</w:t>
      </w:r>
      <w:proofErr w:type="spellEnd"/>
      <w:r w:rsidRPr="00F355C8">
        <w:t xml:space="preserve">/variable intensity persistent twitching motion in his left upper limb. Initial </w:t>
      </w:r>
      <w:proofErr w:type="spellStart"/>
      <w:r w:rsidRPr="00F355C8">
        <w:t>hemiparetic</w:t>
      </w:r>
      <w:proofErr w:type="spellEnd"/>
      <w:r w:rsidRPr="00F355C8">
        <w:t xml:space="preserve"> posture involving both upper and lower limbs gradually improved and was resolved with only residual mild left upper limb </w:t>
      </w:r>
      <w:proofErr w:type="spellStart"/>
      <w:r w:rsidRPr="00F355C8">
        <w:t>monoparesis</w:t>
      </w:r>
      <w:proofErr w:type="spellEnd"/>
      <w:r w:rsidRPr="00F355C8">
        <w:t xml:space="preserve">. He experienced regression of some of his developmental skills during his recovery and is now completely non-verbal. He was also quite lethargic and hypotonic with additional concerns regarding his swallowing that prompted referral for a gastrostomy. A year later, he had another episode of status </w:t>
      </w:r>
      <w:proofErr w:type="spellStart"/>
      <w:r w:rsidRPr="00F355C8">
        <w:t>epilepticus</w:t>
      </w:r>
      <w:proofErr w:type="spellEnd"/>
      <w:r w:rsidRPr="00F355C8">
        <w:t xml:space="preserve">. Following recovery from two different episodes of status </w:t>
      </w:r>
      <w:proofErr w:type="spellStart"/>
      <w:r w:rsidRPr="00F355C8">
        <w:t>epilepticus</w:t>
      </w:r>
      <w:proofErr w:type="spellEnd"/>
      <w:r w:rsidRPr="00F355C8">
        <w:t xml:space="preserve">, he was left with a </w:t>
      </w:r>
      <w:proofErr w:type="spellStart"/>
      <w:r w:rsidRPr="00F355C8">
        <w:t>semirepetitive</w:t>
      </w:r>
      <w:proofErr w:type="spellEnd"/>
      <w:r w:rsidRPr="00F355C8">
        <w:t xml:space="preserve"> </w:t>
      </w:r>
      <w:proofErr w:type="spellStart"/>
      <w:r w:rsidRPr="00F355C8">
        <w:t>dyskinesogenic</w:t>
      </w:r>
      <w:proofErr w:type="spellEnd"/>
      <w:r w:rsidRPr="00F355C8">
        <w:t xml:space="preserve"> high frequency movement disorder of variable intensity involving the upper limbs and face predominantly. He has a history of horizontal </w:t>
      </w:r>
      <w:proofErr w:type="spellStart"/>
      <w:r w:rsidRPr="00F355C8">
        <w:t>nystagmus</w:t>
      </w:r>
      <w:proofErr w:type="spellEnd"/>
      <w:r w:rsidRPr="00F355C8">
        <w:t xml:space="preserve">. Repeat MRI imaging on this occasion showed disease progression with new bilateral high </w:t>
      </w:r>
      <w:proofErr w:type="spellStart"/>
      <w:r w:rsidRPr="00F355C8">
        <w:t>T2</w:t>
      </w:r>
      <w:proofErr w:type="spellEnd"/>
      <w:r w:rsidRPr="00F355C8">
        <w:t xml:space="preserve"> and low </w:t>
      </w:r>
      <w:proofErr w:type="spellStart"/>
      <w:r w:rsidRPr="00F355C8">
        <w:t>T1</w:t>
      </w:r>
      <w:proofErr w:type="spellEnd"/>
      <w:r w:rsidRPr="00F355C8">
        <w:t xml:space="preserve"> signal in the </w:t>
      </w:r>
      <w:proofErr w:type="spellStart"/>
      <w:r w:rsidRPr="00F355C8">
        <w:t>olivary</w:t>
      </w:r>
      <w:proofErr w:type="spellEnd"/>
      <w:r w:rsidRPr="00F355C8">
        <w:t xml:space="preserve"> nuclei of the medulla in keeping with cystic degeneration. There is less well defined </w:t>
      </w:r>
      <w:proofErr w:type="spellStart"/>
      <w:r w:rsidRPr="00F355C8">
        <w:t>T2</w:t>
      </w:r>
      <w:proofErr w:type="spellEnd"/>
      <w:r w:rsidRPr="00F355C8">
        <w:t xml:space="preserve"> </w:t>
      </w:r>
      <w:proofErr w:type="spellStart"/>
      <w:r w:rsidRPr="00F355C8">
        <w:t>hyperintensity</w:t>
      </w:r>
      <w:proofErr w:type="spellEnd"/>
      <w:r w:rsidRPr="00F355C8">
        <w:t xml:space="preserve"> in the left thalamus. </w:t>
      </w:r>
      <w:proofErr w:type="spellStart"/>
      <w:r w:rsidRPr="00F355C8">
        <w:t>Neurometabolic</w:t>
      </w:r>
      <w:proofErr w:type="spellEnd"/>
      <w:r w:rsidRPr="00F355C8">
        <w:t xml:space="preserve"> screen involving lactate and pyruvate concentrations in the CSF, anti-neuronal antibodies and anti-</w:t>
      </w:r>
      <w:proofErr w:type="spellStart"/>
      <w:r w:rsidRPr="00F355C8">
        <w:t>NMDAR</w:t>
      </w:r>
      <w:proofErr w:type="spellEnd"/>
      <w:r w:rsidRPr="00F355C8">
        <w:t xml:space="preserve"> antibodies, plasma amino acids, urinary amino acids, organic acids, urine </w:t>
      </w:r>
      <w:proofErr w:type="spellStart"/>
      <w:r w:rsidRPr="00F355C8">
        <w:t>sialic</w:t>
      </w:r>
      <w:proofErr w:type="spellEnd"/>
      <w:r w:rsidRPr="00F355C8">
        <w:t xml:space="preserve"> acid screening was essentially normal.</w:t>
      </w:r>
      <w:bookmarkStart w:id="15" w:name="Line_manu_323"/>
      <w:bookmarkEnd w:id="15"/>
    </w:p>
    <w:p w:rsidR="003738E6" w:rsidRPr="00F355C8" w:rsidRDefault="003738E6" w:rsidP="003738E6">
      <w:pPr>
        <w:pStyle w:val="sectionb"/>
        <w:rPr>
          <w:bCs/>
        </w:rPr>
      </w:pPr>
      <w:r w:rsidRPr="00F355C8">
        <w:rPr>
          <w:bCs/>
        </w:rPr>
        <w:t>1.2 Western blot analysis</w:t>
      </w:r>
      <w:bookmarkStart w:id="16" w:name="Line_manu_324"/>
      <w:bookmarkEnd w:id="16"/>
    </w:p>
    <w:p w:rsidR="003738E6" w:rsidRPr="00F355C8" w:rsidRDefault="003738E6" w:rsidP="003738E6">
      <w:pPr>
        <w:pStyle w:val="paragraph"/>
        <w:rPr>
          <w:bCs/>
        </w:rPr>
      </w:pPr>
      <w:r w:rsidRPr="00F355C8">
        <w:rPr>
          <w:bCs/>
        </w:rPr>
        <w:t>Whole cell lysates from fibroblasts were lysed</w:t>
      </w:r>
      <w:r>
        <w:rPr>
          <w:bCs/>
        </w:rPr>
        <w:t xml:space="preserve"> for 20 minutes on ice</w:t>
      </w:r>
      <w:r w:rsidRPr="00F355C8">
        <w:rPr>
          <w:bCs/>
        </w:rPr>
        <w:t xml:space="preserve"> in </w:t>
      </w:r>
      <w:proofErr w:type="spellStart"/>
      <w:r w:rsidRPr="00F355C8">
        <w:rPr>
          <w:bCs/>
        </w:rPr>
        <w:t>lysis</w:t>
      </w:r>
      <w:proofErr w:type="spellEnd"/>
      <w:r w:rsidRPr="00F355C8">
        <w:rPr>
          <w:bCs/>
        </w:rPr>
        <w:t xml:space="preserve"> buffer [50 </w:t>
      </w:r>
      <w:proofErr w:type="spellStart"/>
      <w:r w:rsidRPr="00F355C8">
        <w:rPr>
          <w:bCs/>
        </w:rPr>
        <w:t>mM</w:t>
      </w:r>
      <w:proofErr w:type="spellEnd"/>
      <w:r w:rsidRPr="00F355C8">
        <w:rPr>
          <w:bCs/>
        </w:rPr>
        <w:t xml:space="preserve"> </w:t>
      </w:r>
      <w:proofErr w:type="spellStart"/>
      <w:r w:rsidRPr="00F355C8">
        <w:rPr>
          <w:bCs/>
        </w:rPr>
        <w:t>Tris-HCl</w:t>
      </w:r>
      <w:proofErr w:type="spellEnd"/>
      <w:r w:rsidRPr="00F355C8">
        <w:rPr>
          <w:bCs/>
        </w:rPr>
        <w:t xml:space="preserve"> pH 7.5, 130 </w:t>
      </w:r>
      <w:proofErr w:type="spellStart"/>
      <w:r w:rsidRPr="00F355C8">
        <w:rPr>
          <w:bCs/>
        </w:rPr>
        <w:t>mM</w:t>
      </w:r>
      <w:proofErr w:type="spellEnd"/>
      <w:r w:rsidRPr="00F355C8">
        <w:rPr>
          <w:bCs/>
        </w:rPr>
        <w:t xml:space="preserve"> </w:t>
      </w:r>
      <w:proofErr w:type="spellStart"/>
      <w:r w:rsidRPr="00F355C8">
        <w:rPr>
          <w:bCs/>
        </w:rPr>
        <w:t>NaCl</w:t>
      </w:r>
      <w:proofErr w:type="spellEnd"/>
      <w:r w:rsidRPr="00F355C8">
        <w:rPr>
          <w:bCs/>
        </w:rPr>
        <w:t>, 2 </w:t>
      </w:r>
      <w:proofErr w:type="spellStart"/>
      <w:r w:rsidRPr="00F355C8">
        <w:rPr>
          <w:bCs/>
        </w:rPr>
        <w:t>mM</w:t>
      </w:r>
      <w:proofErr w:type="spellEnd"/>
      <w:r w:rsidRPr="00F355C8">
        <w:rPr>
          <w:bCs/>
        </w:rPr>
        <w:t xml:space="preserve"> </w:t>
      </w:r>
      <w:proofErr w:type="spellStart"/>
      <w:r w:rsidRPr="00F355C8">
        <w:rPr>
          <w:bCs/>
        </w:rPr>
        <w:t>MgCl</w:t>
      </w:r>
      <w:r w:rsidRPr="00F355C8">
        <w:rPr>
          <w:bCs/>
          <w:vertAlign w:val="subscript"/>
        </w:rPr>
        <w:t>2</w:t>
      </w:r>
      <w:proofErr w:type="spellEnd"/>
      <w:r w:rsidRPr="00F355C8">
        <w:rPr>
          <w:bCs/>
        </w:rPr>
        <w:t>, 1 </w:t>
      </w:r>
      <w:proofErr w:type="spellStart"/>
      <w:r w:rsidRPr="00F355C8">
        <w:rPr>
          <w:bCs/>
        </w:rPr>
        <w:t>mM</w:t>
      </w:r>
      <w:proofErr w:type="spellEnd"/>
      <w:r w:rsidRPr="00F355C8">
        <w:rPr>
          <w:bCs/>
        </w:rPr>
        <w:t xml:space="preserve"> </w:t>
      </w:r>
      <w:proofErr w:type="spellStart"/>
      <w:r w:rsidRPr="00F355C8">
        <w:rPr>
          <w:bCs/>
        </w:rPr>
        <w:t>phenylmethanesulfonyl</w:t>
      </w:r>
      <w:proofErr w:type="spellEnd"/>
      <w:r w:rsidRPr="00F355C8">
        <w:rPr>
          <w:bCs/>
        </w:rPr>
        <w:t xml:space="preserve"> fluoride (</w:t>
      </w:r>
      <w:proofErr w:type="spellStart"/>
      <w:r w:rsidRPr="00F355C8">
        <w:rPr>
          <w:bCs/>
        </w:rPr>
        <w:t>PMSF</w:t>
      </w:r>
      <w:proofErr w:type="spellEnd"/>
      <w:r w:rsidRPr="00F355C8">
        <w:rPr>
          <w:bCs/>
        </w:rPr>
        <w:t xml:space="preserve">), 1% </w:t>
      </w:r>
      <w:proofErr w:type="spellStart"/>
      <w:r w:rsidRPr="00F355C8">
        <w:rPr>
          <w:bCs/>
        </w:rPr>
        <w:t>Nonidet</w:t>
      </w:r>
      <w:proofErr w:type="spellEnd"/>
      <w:r w:rsidRPr="00F355C8">
        <w:rPr>
          <w:bCs/>
        </w:rPr>
        <w:t xml:space="preserve"> P-40 (v/v) and 1 × </w:t>
      </w:r>
      <w:proofErr w:type="spellStart"/>
      <w:r w:rsidRPr="00F355C8">
        <w:rPr>
          <w:bCs/>
        </w:rPr>
        <w:t>EDTA</w:t>
      </w:r>
      <w:proofErr w:type="spellEnd"/>
      <w:r w:rsidRPr="00F355C8">
        <w:rPr>
          <w:bCs/>
        </w:rPr>
        <w:t xml:space="preserve"> free protease inhibitor cocktail], denature</w:t>
      </w:r>
      <w:r>
        <w:rPr>
          <w:bCs/>
        </w:rPr>
        <w:t xml:space="preserve">d at </w:t>
      </w:r>
      <w:proofErr w:type="spellStart"/>
      <w:r w:rsidRPr="00F355C8">
        <w:rPr>
          <w:bCs/>
        </w:rPr>
        <w:t>95°C</w:t>
      </w:r>
      <w:proofErr w:type="spellEnd"/>
      <w:r w:rsidRPr="00F355C8">
        <w:rPr>
          <w:bCs/>
        </w:rPr>
        <w:t xml:space="preserve"> for 5 minutes and separated by 12% </w:t>
      </w:r>
      <w:proofErr w:type="spellStart"/>
      <w:r w:rsidRPr="00F355C8">
        <w:rPr>
          <w:bCs/>
        </w:rPr>
        <w:t>SDS</w:t>
      </w:r>
      <w:proofErr w:type="spellEnd"/>
      <w:r w:rsidRPr="00F355C8">
        <w:rPr>
          <w:bCs/>
        </w:rPr>
        <w:t xml:space="preserve"> as previously described (</w:t>
      </w:r>
      <w:proofErr w:type="spellStart"/>
      <w:r w:rsidRPr="00F355C8">
        <w:rPr>
          <w:bCs/>
        </w:rPr>
        <w:t>Oláhová</w:t>
      </w:r>
      <w:proofErr w:type="spellEnd"/>
      <w:r w:rsidRPr="00F355C8">
        <w:rPr>
          <w:bCs/>
        </w:rPr>
        <w:t xml:space="preserve"> </w:t>
      </w:r>
      <w:r w:rsidRPr="00F355C8">
        <w:rPr>
          <w:bCs/>
          <w:i/>
          <w:iCs/>
        </w:rPr>
        <w:t>et al.</w:t>
      </w:r>
      <w:r w:rsidRPr="00F355C8">
        <w:rPr>
          <w:bCs/>
        </w:rPr>
        <w:t xml:space="preserve">, 2015). Following electrophoretic transfer of proteins to </w:t>
      </w:r>
      <w:proofErr w:type="spellStart"/>
      <w:r w:rsidRPr="00F355C8">
        <w:rPr>
          <w:bCs/>
        </w:rPr>
        <w:t>polyvinylidene</w:t>
      </w:r>
      <w:proofErr w:type="spellEnd"/>
      <w:r w:rsidRPr="00F355C8">
        <w:rPr>
          <w:bCs/>
        </w:rPr>
        <w:t xml:space="preserve"> </w:t>
      </w:r>
      <w:proofErr w:type="spellStart"/>
      <w:r w:rsidRPr="00F355C8">
        <w:rPr>
          <w:bCs/>
        </w:rPr>
        <w:t>difluoride</w:t>
      </w:r>
      <w:proofErr w:type="spellEnd"/>
      <w:r w:rsidRPr="00F355C8">
        <w:rPr>
          <w:bCs/>
        </w:rPr>
        <w:t xml:space="preserve"> (</w:t>
      </w:r>
      <w:proofErr w:type="spellStart"/>
      <w:r w:rsidRPr="00F355C8">
        <w:rPr>
          <w:bCs/>
        </w:rPr>
        <w:t>PVDF</w:t>
      </w:r>
      <w:proofErr w:type="spellEnd"/>
      <w:r w:rsidRPr="00F355C8">
        <w:rPr>
          <w:bCs/>
        </w:rPr>
        <w:t xml:space="preserve">) membranes, </w:t>
      </w:r>
      <w:proofErr w:type="spellStart"/>
      <w:r w:rsidRPr="00F355C8">
        <w:rPr>
          <w:bCs/>
        </w:rPr>
        <w:t>immunoblotting</w:t>
      </w:r>
      <w:proofErr w:type="spellEnd"/>
      <w:r w:rsidRPr="00F355C8">
        <w:rPr>
          <w:bCs/>
        </w:rPr>
        <w:t xml:space="preserve"> was performed using antibodies against </w:t>
      </w:r>
      <w:proofErr w:type="spellStart"/>
      <w:r w:rsidRPr="00F355C8">
        <w:rPr>
          <w:bCs/>
        </w:rPr>
        <w:t>DRP1</w:t>
      </w:r>
      <w:proofErr w:type="spellEnd"/>
      <w:r w:rsidRPr="00F355C8">
        <w:rPr>
          <w:bCs/>
        </w:rPr>
        <w:t xml:space="preserve"> (BD Transduction laboratories, 611113), Total </w:t>
      </w:r>
      <w:proofErr w:type="spellStart"/>
      <w:r w:rsidRPr="00F355C8">
        <w:rPr>
          <w:bCs/>
        </w:rPr>
        <w:t>OXPHOS</w:t>
      </w:r>
      <w:proofErr w:type="spellEnd"/>
      <w:r w:rsidRPr="00F355C8">
        <w:rPr>
          <w:bCs/>
        </w:rPr>
        <w:t xml:space="preserve"> Human WB Antibody Cocktail (</w:t>
      </w:r>
      <w:proofErr w:type="spellStart"/>
      <w:r w:rsidRPr="00F355C8">
        <w:rPr>
          <w:bCs/>
        </w:rPr>
        <w:t>Abcam</w:t>
      </w:r>
      <w:proofErr w:type="spellEnd"/>
      <w:r w:rsidRPr="00F355C8">
        <w:rPr>
          <w:bCs/>
        </w:rPr>
        <w:t xml:space="preserve">, </w:t>
      </w:r>
      <w:proofErr w:type="spellStart"/>
      <w:r w:rsidRPr="00F355C8">
        <w:rPr>
          <w:bCs/>
        </w:rPr>
        <w:t>ab110411</w:t>
      </w:r>
      <w:proofErr w:type="spellEnd"/>
      <w:r w:rsidRPr="00F355C8">
        <w:rPr>
          <w:bCs/>
        </w:rPr>
        <w:t xml:space="preserve">), </w:t>
      </w:r>
      <w:proofErr w:type="spellStart"/>
      <w:r w:rsidRPr="00F355C8">
        <w:rPr>
          <w:bCs/>
        </w:rPr>
        <w:t>SMCR7L</w:t>
      </w:r>
      <w:proofErr w:type="spellEnd"/>
      <w:r w:rsidRPr="00F355C8">
        <w:rPr>
          <w:bCs/>
        </w:rPr>
        <w:t xml:space="preserve"> (</w:t>
      </w:r>
      <w:proofErr w:type="spellStart"/>
      <w:r w:rsidRPr="00F355C8">
        <w:rPr>
          <w:bCs/>
        </w:rPr>
        <w:t>MID51</w:t>
      </w:r>
      <w:proofErr w:type="spellEnd"/>
      <w:r w:rsidRPr="00F355C8">
        <w:rPr>
          <w:bCs/>
        </w:rPr>
        <w:t>) (</w:t>
      </w:r>
      <w:proofErr w:type="spellStart"/>
      <w:r w:rsidRPr="00F355C8">
        <w:rPr>
          <w:bCs/>
        </w:rPr>
        <w:t>ab89944</w:t>
      </w:r>
      <w:proofErr w:type="spellEnd"/>
      <w:r w:rsidRPr="00F355C8">
        <w:rPr>
          <w:bCs/>
        </w:rPr>
        <w:t xml:space="preserve">), ß-actin (Cloud Clone Corp. </w:t>
      </w:r>
      <w:proofErr w:type="spellStart"/>
      <w:r w:rsidRPr="00F355C8">
        <w:rPr>
          <w:bCs/>
        </w:rPr>
        <w:t>CAB340Hu22</w:t>
      </w:r>
      <w:proofErr w:type="spellEnd"/>
      <w:r w:rsidRPr="00F355C8">
        <w:rPr>
          <w:bCs/>
        </w:rPr>
        <w:t xml:space="preserve">) and </w:t>
      </w:r>
      <w:proofErr w:type="spellStart"/>
      <w:r w:rsidRPr="00F355C8">
        <w:rPr>
          <w:bCs/>
        </w:rPr>
        <w:t>GAPDH</w:t>
      </w:r>
      <w:proofErr w:type="spellEnd"/>
      <w:r w:rsidRPr="00F355C8">
        <w:rPr>
          <w:bCs/>
        </w:rPr>
        <w:t xml:space="preserve"> (</w:t>
      </w:r>
      <w:proofErr w:type="spellStart"/>
      <w:r w:rsidRPr="00F355C8">
        <w:rPr>
          <w:bCs/>
        </w:rPr>
        <w:t>Proteintech</w:t>
      </w:r>
      <w:proofErr w:type="spellEnd"/>
      <w:r w:rsidRPr="00F355C8">
        <w:rPr>
          <w:bCs/>
        </w:rPr>
        <w:t xml:space="preserve"> 60004-1-</w:t>
      </w:r>
      <w:proofErr w:type="spellStart"/>
      <w:r w:rsidRPr="00F355C8">
        <w:rPr>
          <w:bCs/>
        </w:rPr>
        <w:t>Ig</w:t>
      </w:r>
      <w:proofErr w:type="spellEnd"/>
      <w:r w:rsidRPr="00F355C8">
        <w:rPr>
          <w:bCs/>
        </w:rPr>
        <w:t>).</w:t>
      </w:r>
      <w:bookmarkStart w:id="17" w:name="Line_manu_325"/>
      <w:bookmarkEnd w:id="17"/>
    </w:p>
    <w:p w:rsidR="003738E6" w:rsidRPr="00F355C8" w:rsidRDefault="003738E6" w:rsidP="003738E6">
      <w:pPr>
        <w:pStyle w:val="paragraph"/>
        <w:rPr>
          <w:bCs/>
        </w:rPr>
      </w:pPr>
      <w:r w:rsidRPr="00F355C8">
        <w:rPr>
          <w:bCs/>
        </w:rPr>
        <w:t xml:space="preserve">For </w:t>
      </w:r>
      <w:proofErr w:type="spellStart"/>
      <w:r w:rsidRPr="00F355C8">
        <w:rPr>
          <w:bCs/>
        </w:rPr>
        <w:t>SDS</w:t>
      </w:r>
      <w:proofErr w:type="spellEnd"/>
      <w:r w:rsidRPr="00F355C8">
        <w:rPr>
          <w:bCs/>
        </w:rPr>
        <w:t xml:space="preserve">-PAGE </w:t>
      </w:r>
      <w:proofErr w:type="spellStart"/>
      <w:r w:rsidRPr="00F355C8">
        <w:rPr>
          <w:bCs/>
        </w:rPr>
        <w:t>immunoblotting</w:t>
      </w:r>
      <w:proofErr w:type="spellEnd"/>
      <w:r w:rsidRPr="00F355C8">
        <w:rPr>
          <w:bCs/>
        </w:rPr>
        <w:t xml:space="preserve"> analysis</w:t>
      </w:r>
      <w:r>
        <w:rPr>
          <w:bCs/>
        </w:rPr>
        <w:t>,</w:t>
      </w:r>
      <w:r w:rsidRPr="00F355C8">
        <w:rPr>
          <w:bCs/>
        </w:rPr>
        <w:t xml:space="preserve"> species appropriate horseradish peroxidase‐conjugated secondary antibodies (</w:t>
      </w:r>
      <w:proofErr w:type="spellStart"/>
      <w:r w:rsidRPr="00F355C8">
        <w:rPr>
          <w:bCs/>
        </w:rPr>
        <w:t>Dako</w:t>
      </w:r>
      <w:proofErr w:type="spellEnd"/>
      <w:r w:rsidRPr="00F355C8">
        <w:rPr>
          <w:bCs/>
        </w:rPr>
        <w:t xml:space="preserve">) were used and all the primary antibodies were diluted 1:1000 except for ß-actin (1:10 000) and </w:t>
      </w:r>
      <w:proofErr w:type="spellStart"/>
      <w:r w:rsidRPr="00F355C8">
        <w:rPr>
          <w:bCs/>
        </w:rPr>
        <w:t>GAPDH</w:t>
      </w:r>
      <w:proofErr w:type="spellEnd"/>
      <w:r w:rsidRPr="00F355C8">
        <w:rPr>
          <w:bCs/>
        </w:rPr>
        <w:t xml:space="preserve"> (1:2000). </w:t>
      </w:r>
      <w:proofErr w:type="spellStart"/>
      <w:r w:rsidRPr="00F355C8">
        <w:rPr>
          <w:bCs/>
        </w:rPr>
        <w:t>Amersham</w:t>
      </w:r>
      <w:proofErr w:type="spellEnd"/>
      <w:r w:rsidRPr="00F355C8">
        <w:rPr>
          <w:bCs/>
        </w:rPr>
        <w:t xml:space="preserve"> </w:t>
      </w:r>
      <w:proofErr w:type="spellStart"/>
      <w:r w:rsidRPr="00F355C8">
        <w:rPr>
          <w:bCs/>
        </w:rPr>
        <w:t>ECL</w:t>
      </w:r>
      <w:proofErr w:type="spellEnd"/>
      <w:r w:rsidRPr="00F355C8">
        <w:rPr>
          <w:bCs/>
        </w:rPr>
        <w:t xml:space="preserve"> Prime Western Blotting Detection Reagent (GE </w:t>
      </w:r>
      <w:r w:rsidRPr="00F355C8">
        <w:rPr>
          <w:bCs/>
        </w:rPr>
        <w:lastRenderedPageBreak/>
        <w:t xml:space="preserve">Healthcare, Life Sciences) and The Bio‐Rad </w:t>
      </w:r>
      <w:proofErr w:type="spellStart"/>
      <w:r w:rsidRPr="00F355C8">
        <w:rPr>
          <w:bCs/>
        </w:rPr>
        <w:t>ChemiDoc</w:t>
      </w:r>
      <w:proofErr w:type="spellEnd"/>
      <w:r w:rsidRPr="00F355C8">
        <w:rPr>
          <w:bCs/>
        </w:rPr>
        <w:t xml:space="preserve"> MP with Image Lab software were used for protein </w:t>
      </w:r>
      <w:proofErr w:type="spellStart"/>
      <w:r w:rsidRPr="00F355C8">
        <w:rPr>
          <w:bCs/>
        </w:rPr>
        <w:t>visualisation</w:t>
      </w:r>
      <w:proofErr w:type="spellEnd"/>
      <w:r w:rsidRPr="00F355C8">
        <w:rPr>
          <w:bCs/>
        </w:rPr>
        <w:t xml:space="preserve"> and densitometry quantification of the blots.</w:t>
      </w:r>
      <w:bookmarkStart w:id="18" w:name="Line_manu_326"/>
      <w:bookmarkEnd w:id="18"/>
    </w:p>
    <w:p w:rsidR="003738E6" w:rsidRPr="00F355C8" w:rsidRDefault="003738E6" w:rsidP="003738E6">
      <w:pPr>
        <w:pStyle w:val="sectionb"/>
        <w:rPr>
          <w:bCs/>
        </w:rPr>
      </w:pPr>
      <w:r w:rsidRPr="00F355C8">
        <w:rPr>
          <w:bCs/>
        </w:rPr>
        <w:t xml:space="preserve">1.3 </w:t>
      </w:r>
      <w:proofErr w:type="spellStart"/>
      <w:r w:rsidRPr="00F355C8">
        <w:rPr>
          <w:bCs/>
        </w:rPr>
        <w:t>BMH</w:t>
      </w:r>
      <w:proofErr w:type="spellEnd"/>
      <w:r w:rsidRPr="00F355C8">
        <w:rPr>
          <w:bCs/>
        </w:rPr>
        <w:t xml:space="preserve"> crosslinking</w:t>
      </w:r>
      <w:bookmarkStart w:id="19" w:name="Line_manu_327"/>
      <w:bookmarkEnd w:id="19"/>
    </w:p>
    <w:p w:rsidR="003738E6" w:rsidRPr="00F355C8" w:rsidRDefault="003738E6" w:rsidP="003738E6">
      <w:pPr>
        <w:pStyle w:val="paragraph"/>
        <w:rPr>
          <w:bCs/>
        </w:rPr>
      </w:pPr>
      <w:r w:rsidRPr="00F355C8">
        <w:rPr>
          <w:bCs/>
        </w:rPr>
        <w:t>Control and patient (</w:t>
      </w:r>
      <w:proofErr w:type="spellStart"/>
      <w:r w:rsidRPr="00F355C8">
        <w:rPr>
          <w:bCs/>
        </w:rPr>
        <w:t>P4</w:t>
      </w:r>
      <w:proofErr w:type="spellEnd"/>
      <w:r w:rsidRPr="00F355C8">
        <w:rPr>
          <w:bCs/>
        </w:rPr>
        <w:t xml:space="preserve">) primary fibroblasts were harvested at ~80% </w:t>
      </w:r>
      <w:proofErr w:type="spellStart"/>
      <w:r w:rsidRPr="00F355C8">
        <w:rPr>
          <w:bCs/>
        </w:rPr>
        <w:t>confluency</w:t>
      </w:r>
      <w:proofErr w:type="spellEnd"/>
      <w:r w:rsidRPr="00F355C8">
        <w:rPr>
          <w:bCs/>
        </w:rPr>
        <w:t xml:space="preserve">, washed in </w:t>
      </w:r>
      <w:proofErr w:type="spellStart"/>
      <w:r w:rsidRPr="00F355C8">
        <w:rPr>
          <w:bCs/>
        </w:rPr>
        <w:t>1x</w:t>
      </w:r>
      <w:proofErr w:type="spellEnd"/>
      <w:r w:rsidRPr="00F355C8">
        <w:rPr>
          <w:bCs/>
        </w:rPr>
        <w:t xml:space="preserve"> PBS and pellets were lysed in 200 </w:t>
      </w:r>
      <w:proofErr w:type="spellStart"/>
      <w:r w:rsidRPr="00F355C8">
        <w:rPr>
          <w:bCs/>
        </w:rPr>
        <w:t>μl</w:t>
      </w:r>
      <w:proofErr w:type="spellEnd"/>
      <w:r w:rsidRPr="00F355C8">
        <w:rPr>
          <w:bCs/>
        </w:rPr>
        <w:t xml:space="preserve"> </w:t>
      </w:r>
      <w:proofErr w:type="spellStart"/>
      <w:r w:rsidRPr="00F355C8">
        <w:rPr>
          <w:bCs/>
        </w:rPr>
        <w:t>lysis</w:t>
      </w:r>
      <w:proofErr w:type="spellEnd"/>
      <w:r w:rsidRPr="00F355C8">
        <w:rPr>
          <w:bCs/>
        </w:rPr>
        <w:t xml:space="preserve"> buffer [10 </w:t>
      </w:r>
      <w:proofErr w:type="spellStart"/>
      <w:r w:rsidRPr="00F355C8">
        <w:rPr>
          <w:bCs/>
        </w:rPr>
        <w:t>mM</w:t>
      </w:r>
      <w:proofErr w:type="spellEnd"/>
      <w:r w:rsidRPr="00F355C8">
        <w:rPr>
          <w:bCs/>
        </w:rPr>
        <w:t xml:space="preserve"> </w:t>
      </w:r>
      <w:proofErr w:type="spellStart"/>
      <w:r w:rsidRPr="00F355C8">
        <w:rPr>
          <w:bCs/>
        </w:rPr>
        <w:t>HEPES</w:t>
      </w:r>
      <w:proofErr w:type="spellEnd"/>
      <w:r w:rsidRPr="00F355C8">
        <w:rPr>
          <w:bCs/>
        </w:rPr>
        <w:t>, 150 </w:t>
      </w:r>
      <w:proofErr w:type="spellStart"/>
      <w:r w:rsidRPr="00F355C8">
        <w:rPr>
          <w:bCs/>
        </w:rPr>
        <w:t>mM</w:t>
      </w:r>
      <w:proofErr w:type="spellEnd"/>
      <w:r w:rsidRPr="00F355C8">
        <w:rPr>
          <w:bCs/>
        </w:rPr>
        <w:t xml:space="preserve"> </w:t>
      </w:r>
      <w:proofErr w:type="spellStart"/>
      <w:r w:rsidRPr="00F355C8">
        <w:rPr>
          <w:bCs/>
        </w:rPr>
        <w:t>NaCl</w:t>
      </w:r>
      <w:proofErr w:type="spellEnd"/>
      <w:r w:rsidRPr="00F355C8">
        <w:rPr>
          <w:bCs/>
        </w:rPr>
        <w:t>, 1 </w:t>
      </w:r>
      <w:proofErr w:type="spellStart"/>
      <w:r w:rsidRPr="00F355C8">
        <w:rPr>
          <w:bCs/>
        </w:rPr>
        <w:t>mM</w:t>
      </w:r>
      <w:proofErr w:type="spellEnd"/>
      <w:r w:rsidRPr="00F355C8">
        <w:rPr>
          <w:bCs/>
        </w:rPr>
        <w:t xml:space="preserve"> </w:t>
      </w:r>
      <w:proofErr w:type="spellStart"/>
      <w:r w:rsidRPr="00F355C8">
        <w:rPr>
          <w:bCs/>
        </w:rPr>
        <w:t>EGTA</w:t>
      </w:r>
      <w:proofErr w:type="spellEnd"/>
      <w:r w:rsidRPr="00F355C8">
        <w:rPr>
          <w:bCs/>
        </w:rPr>
        <w:t xml:space="preserve">, 1% Triton-X (v/v), </w:t>
      </w:r>
      <w:proofErr w:type="spellStart"/>
      <w:r w:rsidRPr="00F355C8">
        <w:rPr>
          <w:bCs/>
        </w:rPr>
        <w:t>1mM</w:t>
      </w:r>
      <w:proofErr w:type="spellEnd"/>
      <w:r w:rsidRPr="00F355C8">
        <w:rPr>
          <w:bCs/>
        </w:rPr>
        <w:t xml:space="preserve"> </w:t>
      </w:r>
      <w:proofErr w:type="spellStart"/>
      <w:r w:rsidRPr="00F355C8">
        <w:rPr>
          <w:bCs/>
        </w:rPr>
        <w:t>PMSF</w:t>
      </w:r>
      <w:proofErr w:type="spellEnd"/>
      <w:r w:rsidRPr="00F355C8">
        <w:rPr>
          <w:bCs/>
        </w:rPr>
        <w:t xml:space="preserve"> and 1 × </w:t>
      </w:r>
      <w:proofErr w:type="spellStart"/>
      <w:r w:rsidRPr="00F355C8">
        <w:rPr>
          <w:bCs/>
        </w:rPr>
        <w:t>EDTA</w:t>
      </w:r>
      <w:proofErr w:type="spellEnd"/>
      <w:r w:rsidRPr="00F355C8">
        <w:rPr>
          <w:bCs/>
        </w:rPr>
        <w:t xml:space="preserve"> free protease inhibitor cocktail] containing </w:t>
      </w:r>
      <w:proofErr w:type="spellStart"/>
      <w:r w:rsidRPr="00F355C8">
        <w:rPr>
          <w:bCs/>
        </w:rPr>
        <w:t>1mM</w:t>
      </w:r>
      <w:proofErr w:type="spellEnd"/>
      <w:r w:rsidRPr="00F355C8">
        <w:rPr>
          <w:bCs/>
        </w:rPr>
        <w:t xml:space="preserve"> </w:t>
      </w:r>
      <w:proofErr w:type="spellStart"/>
      <w:r w:rsidRPr="00F355C8">
        <w:rPr>
          <w:bCs/>
        </w:rPr>
        <w:t>DMSO</w:t>
      </w:r>
      <w:proofErr w:type="spellEnd"/>
      <w:r w:rsidRPr="00F355C8">
        <w:rPr>
          <w:bCs/>
        </w:rPr>
        <w:t xml:space="preserve"> or </w:t>
      </w:r>
      <w:proofErr w:type="spellStart"/>
      <w:r w:rsidRPr="00F355C8">
        <w:rPr>
          <w:bCs/>
        </w:rPr>
        <w:t>1mM</w:t>
      </w:r>
      <w:proofErr w:type="spellEnd"/>
      <w:r w:rsidRPr="00F355C8">
        <w:rPr>
          <w:bCs/>
        </w:rPr>
        <w:t xml:space="preserve"> </w:t>
      </w:r>
      <w:proofErr w:type="spellStart"/>
      <w:r w:rsidRPr="00F355C8">
        <w:rPr>
          <w:bCs/>
        </w:rPr>
        <w:t>bis</w:t>
      </w:r>
      <w:proofErr w:type="spellEnd"/>
      <w:r w:rsidRPr="00F355C8">
        <w:rPr>
          <w:bCs/>
        </w:rPr>
        <w:t>‐</w:t>
      </w:r>
      <w:proofErr w:type="spellStart"/>
      <w:r w:rsidRPr="00F355C8">
        <w:rPr>
          <w:bCs/>
        </w:rPr>
        <w:t>maleimido</w:t>
      </w:r>
      <w:proofErr w:type="spellEnd"/>
      <w:r w:rsidRPr="00F355C8">
        <w:rPr>
          <w:bCs/>
        </w:rPr>
        <w:t>‐hexane (</w:t>
      </w:r>
      <w:proofErr w:type="spellStart"/>
      <w:r w:rsidRPr="00F355C8">
        <w:rPr>
          <w:bCs/>
        </w:rPr>
        <w:t>BMH</w:t>
      </w:r>
      <w:proofErr w:type="spellEnd"/>
      <w:r w:rsidRPr="00F355C8">
        <w:rPr>
          <w:bCs/>
        </w:rPr>
        <w:t xml:space="preserve">) cross-linker for 30 minutes at </w:t>
      </w:r>
      <w:proofErr w:type="spellStart"/>
      <w:r w:rsidRPr="00F355C8">
        <w:rPr>
          <w:bCs/>
        </w:rPr>
        <w:t>RT</w:t>
      </w:r>
      <w:proofErr w:type="spellEnd"/>
      <w:r w:rsidRPr="00F355C8">
        <w:rPr>
          <w:bCs/>
        </w:rPr>
        <w:t xml:space="preserve"> with gentle rotation. The reaction was inactivated by the addition of 20 </w:t>
      </w:r>
      <w:proofErr w:type="spellStart"/>
      <w:r w:rsidRPr="00F355C8">
        <w:rPr>
          <w:bCs/>
        </w:rPr>
        <w:t>mM</w:t>
      </w:r>
      <w:proofErr w:type="spellEnd"/>
      <w:r w:rsidRPr="00F355C8">
        <w:rPr>
          <w:bCs/>
        </w:rPr>
        <w:t xml:space="preserve"> </w:t>
      </w:r>
      <w:proofErr w:type="spellStart"/>
      <w:r w:rsidRPr="00F355C8">
        <w:rPr>
          <w:bCs/>
        </w:rPr>
        <w:t>DTT</w:t>
      </w:r>
      <w:proofErr w:type="spellEnd"/>
      <w:r w:rsidRPr="00F355C8">
        <w:rPr>
          <w:bCs/>
        </w:rPr>
        <w:t xml:space="preserve"> for 15 minutes at RT. Protein concentration of the supernatant following centrifugation of the lysates at 500 </w:t>
      </w:r>
      <w:proofErr w:type="spellStart"/>
      <w:r w:rsidRPr="00F355C8">
        <w:rPr>
          <w:bCs/>
        </w:rPr>
        <w:t>rcf</w:t>
      </w:r>
      <w:proofErr w:type="spellEnd"/>
      <w:r w:rsidRPr="00F355C8">
        <w:rPr>
          <w:bCs/>
        </w:rPr>
        <w:t xml:space="preserve"> for 5 minutes was determined by Bradford assay (</w:t>
      </w:r>
      <w:proofErr w:type="spellStart"/>
      <w:r w:rsidRPr="00F355C8">
        <w:rPr>
          <w:bCs/>
        </w:rPr>
        <w:t>BioRad</w:t>
      </w:r>
      <w:proofErr w:type="spellEnd"/>
      <w:r w:rsidRPr="00F355C8">
        <w:rPr>
          <w:bCs/>
        </w:rPr>
        <w:t xml:space="preserve">) and 50 </w:t>
      </w:r>
      <w:proofErr w:type="spellStart"/>
      <w:r w:rsidRPr="00F355C8">
        <w:rPr>
          <w:bCs/>
        </w:rPr>
        <w:t>μg</w:t>
      </w:r>
      <w:proofErr w:type="spellEnd"/>
      <w:r w:rsidRPr="00F355C8">
        <w:rPr>
          <w:bCs/>
        </w:rPr>
        <w:t xml:space="preserve"> of each sample, denatured at </w:t>
      </w:r>
      <w:proofErr w:type="spellStart"/>
      <w:r w:rsidRPr="00F355C8">
        <w:rPr>
          <w:bCs/>
        </w:rPr>
        <w:t>70°C</w:t>
      </w:r>
      <w:proofErr w:type="spellEnd"/>
      <w:r w:rsidRPr="00F355C8">
        <w:rPr>
          <w:bCs/>
        </w:rPr>
        <w:t xml:space="preserve"> for 10 minutes in the presence of </w:t>
      </w:r>
      <w:proofErr w:type="spellStart"/>
      <w:r w:rsidRPr="00F355C8">
        <w:rPr>
          <w:bCs/>
        </w:rPr>
        <w:t>NuPAGE</w:t>
      </w:r>
      <w:proofErr w:type="spellEnd"/>
      <w:r w:rsidRPr="00F355C8">
        <w:rPr>
          <w:bCs/>
        </w:rPr>
        <w:t xml:space="preserve">™ LDS Sample Buffer </w:t>
      </w:r>
      <w:r>
        <w:rPr>
          <w:bCs/>
        </w:rPr>
        <w:t>(</w:t>
      </w:r>
      <w:proofErr w:type="spellStart"/>
      <w:r>
        <w:rPr>
          <w:bCs/>
        </w:rPr>
        <w:t>ThermoFisher</w:t>
      </w:r>
      <w:proofErr w:type="spellEnd"/>
      <w:r>
        <w:rPr>
          <w:bCs/>
        </w:rPr>
        <w:t xml:space="preserve">), </w:t>
      </w:r>
      <w:r w:rsidRPr="00F355C8">
        <w:rPr>
          <w:bCs/>
        </w:rPr>
        <w:t xml:space="preserve">was loaded onto a </w:t>
      </w:r>
      <w:proofErr w:type="spellStart"/>
      <w:r w:rsidRPr="00F355C8">
        <w:rPr>
          <w:bCs/>
        </w:rPr>
        <w:t>NuPAGE</w:t>
      </w:r>
      <w:proofErr w:type="spellEnd"/>
      <w:r w:rsidRPr="00F355C8">
        <w:rPr>
          <w:bCs/>
        </w:rPr>
        <w:t xml:space="preserve"> 3-8% </w:t>
      </w:r>
      <w:proofErr w:type="spellStart"/>
      <w:r w:rsidRPr="00F355C8">
        <w:rPr>
          <w:bCs/>
        </w:rPr>
        <w:t>Tris</w:t>
      </w:r>
      <w:proofErr w:type="spellEnd"/>
      <w:r w:rsidRPr="00F355C8">
        <w:rPr>
          <w:bCs/>
        </w:rPr>
        <w:t xml:space="preserve"> Acetate Gel (</w:t>
      </w:r>
      <w:proofErr w:type="spellStart"/>
      <w:r w:rsidRPr="00F355C8">
        <w:rPr>
          <w:bCs/>
        </w:rPr>
        <w:t>Novex</w:t>
      </w:r>
      <w:proofErr w:type="spellEnd"/>
      <w:r w:rsidRPr="00F355C8">
        <w:rPr>
          <w:bCs/>
        </w:rPr>
        <w:t xml:space="preserve">) and </w:t>
      </w:r>
      <w:proofErr w:type="spellStart"/>
      <w:r w:rsidRPr="00F355C8">
        <w:rPr>
          <w:bCs/>
        </w:rPr>
        <w:t>analysed</w:t>
      </w:r>
      <w:proofErr w:type="spellEnd"/>
      <w:r w:rsidRPr="00F355C8">
        <w:rPr>
          <w:bCs/>
        </w:rPr>
        <w:t xml:space="preserve"> by Western blotting.</w:t>
      </w:r>
      <w:bookmarkStart w:id="20" w:name="Line_manu_328"/>
      <w:bookmarkEnd w:id="20"/>
    </w:p>
    <w:p w:rsidR="003738E6" w:rsidRPr="00F355C8" w:rsidRDefault="003738E6" w:rsidP="003738E6">
      <w:pPr>
        <w:pStyle w:val="references"/>
        <w:rPr>
          <w:bCs/>
        </w:rPr>
      </w:pPr>
      <w:r w:rsidRPr="00F355C8">
        <w:rPr>
          <w:b/>
          <w:bCs/>
        </w:rPr>
        <w:t>References</w:t>
      </w:r>
      <w:bookmarkStart w:id="21" w:name="Line_manu_329"/>
      <w:bookmarkEnd w:id="21"/>
    </w:p>
    <w:p w:rsidR="003738E6" w:rsidRDefault="003738E6" w:rsidP="003738E6">
      <w:pPr>
        <w:pStyle w:val="paragraph"/>
        <w:rPr>
          <w:bCs/>
        </w:rPr>
      </w:pPr>
      <w:proofErr w:type="spellStart"/>
      <w:r>
        <w:rPr>
          <w:bCs/>
        </w:rPr>
        <w:t>Oláhová</w:t>
      </w:r>
      <w:proofErr w:type="spellEnd"/>
      <w:r>
        <w:rPr>
          <w:bCs/>
        </w:rPr>
        <w:t xml:space="preserve"> M, </w:t>
      </w:r>
      <w:r w:rsidRPr="00374B36">
        <w:rPr>
          <w:bCs/>
        </w:rPr>
        <w:t>Hardy</w:t>
      </w:r>
      <w:r>
        <w:rPr>
          <w:bCs/>
        </w:rPr>
        <w:t xml:space="preserve"> SA, </w:t>
      </w:r>
      <w:r w:rsidRPr="00374B36">
        <w:rPr>
          <w:bCs/>
        </w:rPr>
        <w:t>Hall</w:t>
      </w:r>
      <w:r>
        <w:rPr>
          <w:bCs/>
        </w:rPr>
        <w:t xml:space="preserve"> J, </w:t>
      </w:r>
      <w:proofErr w:type="spellStart"/>
      <w:r w:rsidRPr="00374B36">
        <w:rPr>
          <w:bCs/>
        </w:rPr>
        <w:t>Yarham</w:t>
      </w:r>
      <w:proofErr w:type="spellEnd"/>
      <w:r>
        <w:rPr>
          <w:bCs/>
        </w:rPr>
        <w:t xml:space="preserve"> </w:t>
      </w:r>
      <w:proofErr w:type="spellStart"/>
      <w:r>
        <w:rPr>
          <w:bCs/>
        </w:rPr>
        <w:t>JW</w:t>
      </w:r>
      <w:proofErr w:type="spellEnd"/>
      <w:r>
        <w:rPr>
          <w:bCs/>
        </w:rPr>
        <w:t xml:space="preserve">, </w:t>
      </w:r>
      <w:proofErr w:type="spellStart"/>
      <w:r w:rsidRPr="00374B36">
        <w:rPr>
          <w:bCs/>
        </w:rPr>
        <w:t>Haack</w:t>
      </w:r>
      <w:proofErr w:type="spellEnd"/>
      <w:r>
        <w:rPr>
          <w:bCs/>
        </w:rPr>
        <w:t xml:space="preserve"> TB, </w:t>
      </w:r>
      <w:r w:rsidRPr="00374B36">
        <w:rPr>
          <w:bCs/>
        </w:rPr>
        <w:t>Wilson</w:t>
      </w:r>
      <w:r>
        <w:rPr>
          <w:bCs/>
        </w:rPr>
        <w:t xml:space="preserve"> WC, </w:t>
      </w:r>
      <w:r w:rsidRPr="00374B36">
        <w:rPr>
          <w:bCs/>
        </w:rPr>
        <w:t>Alston</w:t>
      </w:r>
      <w:r>
        <w:rPr>
          <w:bCs/>
        </w:rPr>
        <w:t xml:space="preserve"> CL, </w:t>
      </w:r>
      <w:r w:rsidRPr="00374B36">
        <w:rPr>
          <w:bCs/>
        </w:rPr>
        <w:t>He</w:t>
      </w:r>
      <w:r>
        <w:rPr>
          <w:bCs/>
        </w:rPr>
        <w:t xml:space="preserve"> L</w:t>
      </w:r>
      <w:r w:rsidRPr="00374B36">
        <w:rPr>
          <w:bCs/>
        </w:rPr>
        <w:t>,</w:t>
      </w:r>
      <w:r>
        <w:rPr>
          <w:bCs/>
        </w:rPr>
        <w:t xml:space="preserve"> </w:t>
      </w:r>
      <w:proofErr w:type="spellStart"/>
      <w:r>
        <w:rPr>
          <w:bCs/>
        </w:rPr>
        <w:t>Aznauryan</w:t>
      </w:r>
      <w:proofErr w:type="spellEnd"/>
      <w:r>
        <w:rPr>
          <w:bCs/>
        </w:rPr>
        <w:t xml:space="preserve"> E, Brown </w:t>
      </w:r>
      <w:proofErr w:type="spellStart"/>
      <w:r>
        <w:rPr>
          <w:bCs/>
        </w:rPr>
        <w:t>RM</w:t>
      </w:r>
      <w:proofErr w:type="spellEnd"/>
      <w:r>
        <w:rPr>
          <w:bCs/>
        </w:rPr>
        <w:t>, et al</w:t>
      </w:r>
      <w:r w:rsidRPr="00F355C8">
        <w:rPr>
          <w:bCs/>
        </w:rPr>
        <w:t xml:space="preserve"> </w:t>
      </w:r>
      <w:r>
        <w:rPr>
          <w:bCs/>
        </w:rPr>
        <w:t xml:space="preserve">(2015) </w:t>
      </w:r>
      <w:proofErr w:type="spellStart"/>
      <w:r w:rsidRPr="00F355C8">
        <w:rPr>
          <w:bCs/>
          <w:i/>
        </w:rPr>
        <w:t>LRPPRC</w:t>
      </w:r>
      <w:proofErr w:type="spellEnd"/>
      <w:r w:rsidRPr="00F355C8">
        <w:rPr>
          <w:bCs/>
        </w:rPr>
        <w:t xml:space="preserve"> mutations cause early-onset multisystem mitochondrial disease outside of the French-Canadian population. </w:t>
      </w:r>
      <w:r w:rsidRPr="00374B36">
        <w:rPr>
          <w:bCs/>
        </w:rPr>
        <w:t>Brain 138:</w:t>
      </w:r>
      <w:r>
        <w:rPr>
          <w:bCs/>
        </w:rPr>
        <w:t xml:space="preserve"> 3503–3519</w:t>
      </w:r>
      <w:bookmarkStart w:id="22" w:name="Line_manu_330"/>
      <w:bookmarkEnd w:id="22"/>
    </w:p>
    <w:p w:rsidR="003738E6" w:rsidRDefault="003738E6" w:rsidP="003738E6">
      <w:pPr>
        <w:pStyle w:val="dummy"/>
      </w:pPr>
      <w:r>
        <w:t>==========</w:t>
      </w:r>
      <w:bookmarkStart w:id="23" w:name="Line_manu_332"/>
      <w:bookmarkEnd w:id="23"/>
    </w:p>
    <w:p w:rsidR="003738E6" w:rsidRDefault="003738E6" w:rsidP="003738E6">
      <w:pPr>
        <w:pStyle w:val="dummy"/>
        <w:rPr>
          <w:bCs/>
        </w:rPr>
      </w:pPr>
      <w:proofErr w:type="spellStart"/>
      <w:r>
        <w:rPr>
          <w:color w:val="7F7F7F" w:themeColor="background1" w:themeShade="7F"/>
          <w:spacing w:val="60"/>
          <w:sz w:val="20"/>
          <w:szCs w:val="20"/>
        </w:rPr>
        <w:t>Nolden</w:t>
      </w:r>
      <w:proofErr w:type="spellEnd"/>
      <w:r w:rsidRPr="006F10CA">
        <w:rPr>
          <w:color w:val="7F7F7F" w:themeColor="background1" w:themeShade="7F"/>
          <w:spacing w:val="60"/>
          <w:sz w:val="20"/>
          <w:szCs w:val="20"/>
        </w:rPr>
        <w:t xml:space="preserve"> </w:t>
      </w:r>
      <w:r w:rsidRPr="00BC225C">
        <w:rPr>
          <w:i/>
          <w:color w:val="7F7F7F" w:themeColor="background1" w:themeShade="7F"/>
          <w:spacing w:val="60"/>
          <w:sz w:val="20"/>
          <w:szCs w:val="20"/>
        </w:rPr>
        <w:t>et al.</w:t>
      </w:r>
      <w:r w:rsidRPr="00BC225C">
        <w:rPr>
          <w:sz w:val="20"/>
          <w:szCs w:val="20"/>
        </w:rPr>
        <w:t xml:space="preserve"> | </w:t>
      </w:r>
      <w:r w:rsidRPr="003C144A">
        <w:rPr>
          <w:b/>
          <w:bCs/>
          <w:noProof/>
          <w:sz w:val="20"/>
          <w:szCs w:val="20"/>
        </w:rPr>
        <w:t>27</w:t>
      </w:r>
      <w:bookmarkStart w:id="24" w:name="Line_manu_333"/>
      <w:bookmarkEnd w:id="24"/>
    </w:p>
    <w:p w:rsidR="0077504D" w:rsidRDefault="0077504D"/>
    <w:sectPr w:rsidR="0077504D">
      <w:pgSz w:w="12240" w:h="15840"/>
      <w:pgMar w:top="1440" w:right="1440" w:bottom="1440" w:left="1440" w:header="720" w:footer="720" w:gutter="0"/>
      <w:lnNumType w:countBy="1" w:restart="continuou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E6"/>
    <w:rsid w:val="003738E6"/>
    <w:rsid w:val="0077504D"/>
    <w:rsid w:val="00A15448"/>
    <w:rsid w:val="00EE72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uiPriority w:val="99"/>
    <w:rsid w:val="003738E6"/>
    <w:pPr>
      <w:spacing w:before="120" w:after="120" w:line="240" w:lineRule="auto"/>
    </w:pPr>
    <w:rPr>
      <w:rFonts w:ascii="Times New Roman" w:eastAsiaTheme="minorEastAsia" w:hAnsi="Times New Roman" w:cs="Times New Roman"/>
      <w:lang w:val="en-US"/>
    </w:rPr>
  </w:style>
  <w:style w:type="paragraph" w:customStyle="1" w:styleId="paragraph">
    <w:name w:val="paragraph"/>
    <w:basedOn w:val="Normal"/>
    <w:link w:val="type"/>
    <w:uiPriority w:val="99"/>
    <w:rsid w:val="003738E6"/>
    <w:pPr>
      <w:spacing w:after="120" w:line="240" w:lineRule="auto"/>
      <w:ind w:firstLine="288"/>
    </w:pPr>
    <w:rPr>
      <w:rFonts w:ascii="Times New Roman" w:eastAsiaTheme="minorEastAsia" w:hAnsi="Times New Roman" w:cs="Times New Roman"/>
      <w:lang w:val="en-US"/>
    </w:rPr>
  </w:style>
  <w:style w:type="paragraph" w:customStyle="1" w:styleId="references">
    <w:name w:val="references"/>
    <w:basedOn w:val="Normal"/>
    <w:uiPriority w:val="99"/>
    <w:rsid w:val="003738E6"/>
    <w:pPr>
      <w:spacing w:before="240" w:after="240" w:line="240" w:lineRule="auto"/>
    </w:pPr>
    <w:rPr>
      <w:rFonts w:ascii="Times New Roman" w:eastAsiaTheme="minorEastAsia" w:hAnsi="Times New Roman" w:cs="Times New Roman"/>
      <w:lang w:val="en-US"/>
    </w:rPr>
  </w:style>
  <w:style w:type="paragraph" w:customStyle="1" w:styleId="sectiona">
    <w:name w:val="sectiona"/>
    <w:basedOn w:val="Normal"/>
    <w:uiPriority w:val="99"/>
    <w:rsid w:val="003738E6"/>
    <w:pPr>
      <w:spacing w:before="120" w:after="120" w:line="240" w:lineRule="auto"/>
    </w:pPr>
    <w:rPr>
      <w:rFonts w:ascii="Times New Roman" w:eastAsiaTheme="minorEastAsia" w:hAnsi="Times New Roman" w:cs="Times New Roman"/>
      <w:sz w:val="32"/>
      <w:szCs w:val="32"/>
      <w:lang w:val="en-US"/>
    </w:rPr>
  </w:style>
  <w:style w:type="paragraph" w:customStyle="1" w:styleId="sectionb">
    <w:name w:val="sectionb"/>
    <w:basedOn w:val="Normal"/>
    <w:uiPriority w:val="99"/>
    <w:rsid w:val="003738E6"/>
    <w:pPr>
      <w:spacing w:before="120" w:after="120" w:line="240" w:lineRule="auto"/>
    </w:pPr>
    <w:rPr>
      <w:rFonts w:ascii="Times New Roman" w:eastAsiaTheme="minorEastAsia" w:hAnsi="Times New Roman" w:cs="Times New Roman"/>
      <w:sz w:val="28"/>
      <w:szCs w:val="28"/>
      <w:lang w:val="en-US"/>
    </w:rPr>
  </w:style>
  <w:style w:type="paragraph" w:customStyle="1" w:styleId="appsectiona">
    <w:name w:val="appsectiona"/>
    <w:basedOn w:val="Normal"/>
    <w:uiPriority w:val="99"/>
    <w:rsid w:val="003738E6"/>
    <w:pPr>
      <w:spacing w:before="120" w:after="120" w:line="240" w:lineRule="auto"/>
    </w:pPr>
    <w:rPr>
      <w:rFonts w:ascii="Times New Roman" w:eastAsiaTheme="minorEastAsia" w:hAnsi="Times New Roman" w:cs="Times New Roman"/>
      <w:sz w:val="28"/>
      <w:szCs w:val="28"/>
      <w:lang w:val="en-US"/>
    </w:rPr>
  </w:style>
  <w:style w:type="character" w:customStyle="1" w:styleId="type">
    <w:name w:val="type"/>
    <w:basedOn w:val="DefaultParagraphFont"/>
    <w:link w:val="paragraph"/>
    <w:uiPriority w:val="99"/>
    <w:rsid w:val="003738E6"/>
    <w:rPr>
      <w:rFonts w:ascii="Times New Roman" w:eastAsiaTheme="minorEastAsia" w:hAnsi="Times New Roman" w:cs="Times New Roman"/>
      <w:lang w:val="en-US"/>
    </w:rPr>
  </w:style>
  <w:style w:type="paragraph" w:customStyle="1" w:styleId="dummy">
    <w:name w:val="dummy"/>
    <w:basedOn w:val="paragraph"/>
    <w:uiPriority w:val="99"/>
    <w:rsid w:val="003738E6"/>
    <w:rPr>
      <w:sz w:val="18"/>
      <w:szCs w:val="18"/>
    </w:rPr>
  </w:style>
  <w:style w:type="paragraph" w:customStyle="1" w:styleId="duplicate">
    <w:name w:val="duplicate"/>
    <w:basedOn w:val="paragraph"/>
    <w:uiPriority w:val="99"/>
    <w:rsid w:val="003738E6"/>
    <w:pPr>
      <w:spacing w:before="120"/>
    </w:pPr>
  </w:style>
  <w:style w:type="paragraph" w:customStyle="1" w:styleId="figcaption">
    <w:name w:val="figcaption"/>
    <w:basedOn w:val="Normal"/>
    <w:uiPriority w:val="99"/>
    <w:rsid w:val="003738E6"/>
    <w:pPr>
      <w:spacing w:before="120" w:after="120" w:line="240" w:lineRule="auto"/>
      <w:ind w:firstLine="288"/>
    </w:pPr>
    <w:rPr>
      <w:rFonts w:ascii="Times New Roman" w:eastAsiaTheme="minorEastAsia"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uiPriority w:val="99"/>
    <w:rsid w:val="003738E6"/>
    <w:pPr>
      <w:spacing w:before="120" w:after="120" w:line="240" w:lineRule="auto"/>
    </w:pPr>
    <w:rPr>
      <w:rFonts w:ascii="Times New Roman" w:eastAsiaTheme="minorEastAsia" w:hAnsi="Times New Roman" w:cs="Times New Roman"/>
      <w:lang w:val="en-US"/>
    </w:rPr>
  </w:style>
  <w:style w:type="paragraph" w:customStyle="1" w:styleId="paragraph">
    <w:name w:val="paragraph"/>
    <w:basedOn w:val="Normal"/>
    <w:link w:val="type"/>
    <w:uiPriority w:val="99"/>
    <w:rsid w:val="003738E6"/>
    <w:pPr>
      <w:spacing w:after="120" w:line="240" w:lineRule="auto"/>
      <w:ind w:firstLine="288"/>
    </w:pPr>
    <w:rPr>
      <w:rFonts w:ascii="Times New Roman" w:eastAsiaTheme="minorEastAsia" w:hAnsi="Times New Roman" w:cs="Times New Roman"/>
      <w:lang w:val="en-US"/>
    </w:rPr>
  </w:style>
  <w:style w:type="paragraph" w:customStyle="1" w:styleId="references">
    <w:name w:val="references"/>
    <w:basedOn w:val="Normal"/>
    <w:uiPriority w:val="99"/>
    <w:rsid w:val="003738E6"/>
    <w:pPr>
      <w:spacing w:before="240" w:after="240" w:line="240" w:lineRule="auto"/>
    </w:pPr>
    <w:rPr>
      <w:rFonts w:ascii="Times New Roman" w:eastAsiaTheme="minorEastAsia" w:hAnsi="Times New Roman" w:cs="Times New Roman"/>
      <w:lang w:val="en-US"/>
    </w:rPr>
  </w:style>
  <w:style w:type="paragraph" w:customStyle="1" w:styleId="sectiona">
    <w:name w:val="sectiona"/>
    <w:basedOn w:val="Normal"/>
    <w:uiPriority w:val="99"/>
    <w:rsid w:val="003738E6"/>
    <w:pPr>
      <w:spacing w:before="120" w:after="120" w:line="240" w:lineRule="auto"/>
    </w:pPr>
    <w:rPr>
      <w:rFonts w:ascii="Times New Roman" w:eastAsiaTheme="minorEastAsia" w:hAnsi="Times New Roman" w:cs="Times New Roman"/>
      <w:sz w:val="32"/>
      <w:szCs w:val="32"/>
      <w:lang w:val="en-US"/>
    </w:rPr>
  </w:style>
  <w:style w:type="paragraph" w:customStyle="1" w:styleId="sectionb">
    <w:name w:val="sectionb"/>
    <w:basedOn w:val="Normal"/>
    <w:uiPriority w:val="99"/>
    <w:rsid w:val="003738E6"/>
    <w:pPr>
      <w:spacing w:before="120" w:after="120" w:line="240" w:lineRule="auto"/>
    </w:pPr>
    <w:rPr>
      <w:rFonts w:ascii="Times New Roman" w:eastAsiaTheme="minorEastAsia" w:hAnsi="Times New Roman" w:cs="Times New Roman"/>
      <w:sz w:val="28"/>
      <w:szCs w:val="28"/>
      <w:lang w:val="en-US"/>
    </w:rPr>
  </w:style>
  <w:style w:type="paragraph" w:customStyle="1" w:styleId="appsectiona">
    <w:name w:val="appsectiona"/>
    <w:basedOn w:val="Normal"/>
    <w:uiPriority w:val="99"/>
    <w:rsid w:val="003738E6"/>
    <w:pPr>
      <w:spacing w:before="120" w:after="120" w:line="240" w:lineRule="auto"/>
    </w:pPr>
    <w:rPr>
      <w:rFonts w:ascii="Times New Roman" w:eastAsiaTheme="minorEastAsia" w:hAnsi="Times New Roman" w:cs="Times New Roman"/>
      <w:sz w:val="28"/>
      <w:szCs w:val="28"/>
      <w:lang w:val="en-US"/>
    </w:rPr>
  </w:style>
  <w:style w:type="character" w:customStyle="1" w:styleId="type">
    <w:name w:val="type"/>
    <w:basedOn w:val="DefaultParagraphFont"/>
    <w:link w:val="paragraph"/>
    <w:uiPriority w:val="99"/>
    <w:rsid w:val="003738E6"/>
    <w:rPr>
      <w:rFonts w:ascii="Times New Roman" w:eastAsiaTheme="minorEastAsia" w:hAnsi="Times New Roman" w:cs="Times New Roman"/>
      <w:lang w:val="en-US"/>
    </w:rPr>
  </w:style>
  <w:style w:type="paragraph" w:customStyle="1" w:styleId="dummy">
    <w:name w:val="dummy"/>
    <w:basedOn w:val="paragraph"/>
    <w:uiPriority w:val="99"/>
    <w:rsid w:val="003738E6"/>
    <w:rPr>
      <w:sz w:val="18"/>
      <w:szCs w:val="18"/>
    </w:rPr>
  </w:style>
  <w:style w:type="paragraph" w:customStyle="1" w:styleId="duplicate">
    <w:name w:val="duplicate"/>
    <w:basedOn w:val="paragraph"/>
    <w:uiPriority w:val="99"/>
    <w:rsid w:val="003738E6"/>
    <w:pPr>
      <w:spacing w:before="120"/>
    </w:pPr>
  </w:style>
  <w:style w:type="paragraph" w:customStyle="1" w:styleId="figcaption">
    <w:name w:val="figcaption"/>
    <w:basedOn w:val="Normal"/>
    <w:uiPriority w:val="99"/>
    <w:rsid w:val="003738E6"/>
    <w:pPr>
      <w:spacing w:before="120" w:after="120" w:line="240" w:lineRule="auto"/>
      <w:ind w:firstLine="288"/>
    </w:pPr>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2189</Words>
  <Characters>12479</Characters>
  <Application>Microsoft Office Word</Application>
  <DocSecurity>0</DocSecurity>
  <Lines>103</Lines>
  <Paragraphs>29</Paragraphs>
  <ScaleCrop>false</ScaleCrop>
  <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15325_1_TUDQC-35:858:rec-lsa-107-5</dc:creator>
  <cp:lastModifiedBy>15325_1_TUDQC-35:858:rec-lsa-107-5</cp:lastModifiedBy>
  <cp:revision>1</cp:revision>
  <dcterms:created xsi:type="dcterms:W3CDTF">2022-07-13T09:02:00Z</dcterms:created>
  <dcterms:modified xsi:type="dcterms:W3CDTF">2022-07-13T09:03:00Z</dcterms:modified>
</cp:coreProperties>
</file>