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6950A2" w14:textId="459F90BF" w:rsidR="00367443" w:rsidRPr="00380867" w:rsidRDefault="00367443" w:rsidP="0009502B">
      <w:pPr>
        <w:spacing w:after="0" w:line="480" w:lineRule="auto"/>
        <w:jc w:val="both"/>
        <w:outlineLvl w:val="0"/>
        <w:rPr>
          <w:rFonts w:ascii="Arial" w:eastAsia="Times New Roman" w:hAnsi="Arial" w:cs="Arial"/>
          <w:b/>
          <w:iCs/>
        </w:rPr>
      </w:pPr>
      <w:r w:rsidRPr="00380867">
        <w:rPr>
          <w:rFonts w:ascii="Arial" w:eastAsia="Times New Roman" w:hAnsi="Arial" w:cs="Arial"/>
          <w:b/>
          <w:iCs/>
        </w:rPr>
        <w:t>Supplemental Methods</w:t>
      </w:r>
    </w:p>
    <w:p w14:paraId="524C74EF" w14:textId="48C4DA00" w:rsidR="0014144F" w:rsidRPr="00380867" w:rsidRDefault="0014144F" w:rsidP="0009502B">
      <w:pPr>
        <w:spacing w:after="0" w:line="480" w:lineRule="auto"/>
        <w:jc w:val="both"/>
        <w:rPr>
          <w:rFonts w:ascii="Arial" w:eastAsia="Times New Roman" w:hAnsi="Arial" w:cs="Arial"/>
          <w:b/>
        </w:rPr>
      </w:pPr>
      <w:r w:rsidRPr="00380867">
        <w:rPr>
          <w:rFonts w:ascii="Arial" w:eastAsia="Times New Roman" w:hAnsi="Arial" w:cs="Arial"/>
          <w:i/>
        </w:rPr>
        <w:t xml:space="preserve">Carotid artery </w:t>
      </w:r>
      <w:r w:rsidR="00391C8E">
        <w:rPr>
          <w:rFonts w:ascii="Arial" w:eastAsia="Times New Roman" w:hAnsi="Arial" w:cs="Arial"/>
          <w:i/>
        </w:rPr>
        <w:t xml:space="preserve">and </w:t>
      </w:r>
      <w:r w:rsidR="00CC4F4D">
        <w:rPr>
          <w:rFonts w:ascii="Arial" w:eastAsia="Times New Roman" w:hAnsi="Arial" w:cs="Arial"/>
          <w:i/>
        </w:rPr>
        <w:t>a</w:t>
      </w:r>
      <w:r w:rsidR="00391C8E">
        <w:rPr>
          <w:rFonts w:ascii="Arial" w:eastAsia="Times New Roman" w:hAnsi="Arial" w:cs="Arial"/>
          <w:i/>
        </w:rPr>
        <w:t xml:space="preserve">orta </w:t>
      </w:r>
      <w:r w:rsidRPr="00380867">
        <w:rPr>
          <w:rFonts w:ascii="Arial" w:eastAsia="Times New Roman" w:hAnsi="Arial" w:cs="Arial"/>
          <w:i/>
        </w:rPr>
        <w:t xml:space="preserve">immunostaining and </w:t>
      </w:r>
      <w:r w:rsidR="001C66EE">
        <w:rPr>
          <w:rFonts w:ascii="Arial" w:eastAsia="Times New Roman" w:hAnsi="Arial" w:cs="Arial"/>
          <w:i/>
        </w:rPr>
        <w:t xml:space="preserve">histologic </w:t>
      </w:r>
      <w:r w:rsidR="00EF2735">
        <w:rPr>
          <w:rFonts w:ascii="Arial" w:eastAsia="Times New Roman" w:hAnsi="Arial" w:cs="Arial"/>
          <w:i/>
        </w:rPr>
        <w:t>analysis</w:t>
      </w:r>
      <w:r w:rsidRPr="00380867">
        <w:rPr>
          <w:rFonts w:ascii="Arial" w:eastAsia="Times New Roman" w:hAnsi="Arial" w:cs="Arial"/>
          <w:i/>
        </w:rPr>
        <w:t xml:space="preserve">. </w:t>
      </w:r>
      <w:r w:rsidR="001C66EE">
        <w:rPr>
          <w:rFonts w:ascii="Arial" w:eastAsia="Times New Roman" w:hAnsi="Arial" w:cs="Arial"/>
          <w:bCs/>
        </w:rPr>
        <w:t>Isolated a</w:t>
      </w:r>
      <w:r w:rsidR="001C66EE" w:rsidRPr="00380867">
        <w:rPr>
          <w:rFonts w:ascii="Arial" w:eastAsia="Times New Roman" w:hAnsi="Arial" w:cs="Arial"/>
          <w:bCs/>
        </w:rPr>
        <w:t>rteries were fixed after excision in Prefer (</w:t>
      </w:r>
      <w:proofErr w:type="spellStart"/>
      <w:r w:rsidR="001C66EE" w:rsidRPr="00380867">
        <w:rPr>
          <w:rFonts w:ascii="Arial" w:eastAsia="Times New Roman" w:hAnsi="Arial" w:cs="Arial"/>
          <w:bCs/>
        </w:rPr>
        <w:t>Anatech</w:t>
      </w:r>
      <w:proofErr w:type="spellEnd"/>
      <w:r w:rsidR="001C66EE" w:rsidRPr="00380867">
        <w:rPr>
          <w:rFonts w:ascii="Arial" w:eastAsia="Times New Roman" w:hAnsi="Arial" w:cs="Arial"/>
          <w:bCs/>
        </w:rPr>
        <w:t xml:space="preserve"> #414), embedded in paraffin</w:t>
      </w:r>
      <w:r w:rsidR="001C66EE">
        <w:rPr>
          <w:rFonts w:ascii="Arial" w:eastAsia="Times New Roman" w:hAnsi="Arial" w:cs="Arial"/>
          <w:bCs/>
        </w:rPr>
        <w:t>,</w:t>
      </w:r>
      <w:r w:rsidR="001C66EE" w:rsidRPr="00380867">
        <w:rPr>
          <w:rFonts w:ascii="Arial" w:eastAsia="Times New Roman" w:hAnsi="Arial" w:cs="Arial"/>
          <w:bCs/>
        </w:rPr>
        <w:t xml:space="preserve"> and 5-µm </w:t>
      </w:r>
      <w:r w:rsidR="000B2A47">
        <w:rPr>
          <w:rFonts w:ascii="Arial" w:eastAsia="Times New Roman" w:hAnsi="Arial" w:cs="Arial"/>
          <w:bCs/>
        </w:rPr>
        <w:t xml:space="preserve">cross </w:t>
      </w:r>
      <w:r w:rsidR="001C66EE" w:rsidRPr="00380867">
        <w:rPr>
          <w:rFonts w:ascii="Arial" w:eastAsia="Times New Roman" w:hAnsi="Arial" w:cs="Arial"/>
          <w:bCs/>
        </w:rPr>
        <w:t xml:space="preserve">sections were stained. </w:t>
      </w:r>
      <w:r w:rsidRPr="00380867">
        <w:rPr>
          <w:rFonts w:ascii="Arial" w:eastAsia="Times New Roman" w:hAnsi="Arial" w:cs="Arial"/>
        </w:rPr>
        <w:t xml:space="preserve">Paraffin-embedded sections (5 </w:t>
      </w:r>
      <w:r w:rsidRPr="00380867">
        <w:rPr>
          <w:rFonts w:ascii="Arial" w:eastAsia="Times New Roman" w:hAnsi="Arial" w:cs="Arial"/>
          <w:bCs/>
        </w:rPr>
        <w:t>µ</w:t>
      </w:r>
      <w:r w:rsidRPr="00380867">
        <w:rPr>
          <w:rFonts w:ascii="Arial" w:eastAsia="Times New Roman" w:hAnsi="Arial" w:cs="Arial"/>
        </w:rPr>
        <w:t xml:space="preserve">m) of freshly isolated carotid arteries </w:t>
      </w:r>
      <w:r w:rsidR="00F51BB6">
        <w:rPr>
          <w:rFonts w:ascii="Arial" w:eastAsia="Times New Roman" w:hAnsi="Arial" w:cs="Arial"/>
        </w:rPr>
        <w:t xml:space="preserve">or descending aortas </w:t>
      </w:r>
      <w:r w:rsidRPr="00380867">
        <w:rPr>
          <w:rFonts w:ascii="Arial" w:eastAsia="Times New Roman" w:hAnsi="Arial" w:cs="Arial"/>
        </w:rPr>
        <w:t xml:space="preserve">were </w:t>
      </w:r>
      <w:r w:rsidR="006D2144">
        <w:rPr>
          <w:rFonts w:ascii="Arial" w:eastAsia="Times New Roman" w:hAnsi="Arial" w:cs="Arial"/>
        </w:rPr>
        <w:t xml:space="preserve">deparaffinized and </w:t>
      </w:r>
      <w:r w:rsidRPr="00380867">
        <w:rPr>
          <w:rFonts w:ascii="Arial" w:eastAsia="Times New Roman" w:hAnsi="Arial" w:cs="Arial"/>
        </w:rPr>
        <w:t xml:space="preserve">hydrated before antigen unmasking (Vector Labs, H3300). </w:t>
      </w:r>
      <w:r w:rsidR="00CD664B">
        <w:rPr>
          <w:rFonts w:ascii="Arial" w:eastAsia="Times New Roman" w:hAnsi="Arial" w:cs="Arial"/>
        </w:rPr>
        <w:t xml:space="preserve">Carotid or aortic </w:t>
      </w:r>
      <w:r w:rsidR="000B2A47">
        <w:rPr>
          <w:rFonts w:ascii="Arial" w:eastAsia="Times New Roman" w:hAnsi="Arial" w:cs="Arial"/>
        </w:rPr>
        <w:t xml:space="preserve">cross </w:t>
      </w:r>
      <w:r w:rsidR="00CD664B">
        <w:rPr>
          <w:rFonts w:ascii="Arial" w:eastAsia="Times New Roman" w:hAnsi="Arial" w:cs="Arial"/>
        </w:rPr>
        <w:t>s</w:t>
      </w:r>
      <w:r w:rsidRPr="00380867">
        <w:rPr>
          <w:rFonts w:ascii="Arial" w:eastAsia="Times New Roman" w:hAnsi="Arial" w:cs="Arial"/>
        </w:rPr>
        <w:t>ections were washed in PBS three times before blocking with 2% BSA in PBS for 15 min, incubated overnight at 4</w:t>
      </w:r>
      <w:r w:rsidRPr="00380867">
        <w:rPr>
          <w:rFonts w:ascii="Arial" w:eastAsia="Times New Roman" w:hAnsi="Arial" w:cs="Arial"/>
          <w:vertAlign w:val="superscript"/>
        </w:rPr>
        <w:t>o</w:t>
      </w:r>
      <w:r w:rsidRPr="00380867">
        <w:rPr>
          <w:rFonts w:ascii="Arial" w:eastAsia="Times New Roman" w:hAnsi="Arial" w:cs="Arial"/>
        </w:rPr>
        <w:t>C</w:t>
      </w:r>
      <w:r w:rsidRPr="00380867" w:rsidDel="00C24873">
        <w:rPr>
          <w:rFonts w:ascii="Arial" w:eastAsia="Times New Roman" w:hAnsi="Arial" w:cs="Arial"/>
        </w:rPr>
        <w:t xml:space="preserve"> </w:t>
      </w:r>
      <w:r w:rsidRPr="00380867">
        <w:rPr>
          <w:rFonts w:ascii="Arial" w:eastAsia="Times New Roman" w:hAnsi="Arial" w:cs="Arial"/>
        </w:rPr>
        <w:t>with antibodies directed to p16</w:t>
      </w:r>
      <w:r w:rsidRPr="00380867">
        <w:rPr>
          <w:rFonts w:ascii="Arial" w:eastAsia="Times New Roman" w:hAnsi="Arial" w:cs="Arial"/>
          <w:vertAlign w:val="superscript"/>
        </w:rPr>
        <w:t xml:space="preserve">INK4A </w:t>
      </w:r>
      <w:r w:rsidRPr="00380867">
        <w:rPr>
          <w:rFonts w:ascii="Arial" w:eastAsia="Times New Roman" w:hAnsi="Arial" w:cs="Arial"/>
        </w:rPr>
        <w:t>(</w:t>
      </w:r>
      <w:proofErr w:type="spellStart"/>
      <w:r w:rsidRPr="00380867">
        <w:rPr>
          <w:rFonts w:ascii="Arial" w:eastAsia="Times New Roman" w:hAnsi="Arial" w:cs="Arial"/>
        </w:rPr>
        <w:t>Proteintech</w:t>
      </w:r>
      <w:proofErr w:type="spellEnd"/>
      <w:r w:rsidRPr="00380867">
        <w:rPr>
          <w:rFonts w:ascii="Arial" w:eastAsia="Times New Roman" w:hAnsi="Arial" w:cs="Arial"/>
        </w:rPr>
        <w:t>, 10883-1-AP; 1:50 dilution), collagen-I (Southern Biotech, 1310-01; 1:400 dilution), collagen-III (</w:t>
      </w:r>
      <w:proofErr w:type="spellStart"/>
      <w:r w:rsidRPr="00380867">
        <w:rPr>
          <w:rFonts w:ascii="Arial" w:eastAsia="Times New Roman" w:hAnsi="Arial" w:cs="Arial"/>
        </w:rPr>
        <w:t>Proteintech</w:t>
      </w:r>
      <w:proofErr w:type="spellEnd"/>
      <w:r w:rsidRPr="00380867">
        <w:rPr>
          <w:rFonts w:ascii="Arial" w:eastAsia="Times New Roman" w:hAnsi="Arial" w:cs="Arial"/>
        </w:rPr>
        <w:t>, 22734-1-AP; 1:400 dilution), collagen-V (Abcam, ab7046; 1:250 dilution), and LOX (Santa-Cruz, sc32409 selective for the LOX isoform; 1:50 dilution). Replicate sections were incubated in parallel with isotype-matched control antibodies. All samples were washed three time with PBS before incubation with a 1:100 dilution of Alexa 594-conjugated isotype-matched secondary antibody (</w:t>
      </w:r>
      <w:proofErr w:type="spellStart"/>
      <w:r w:rsidRPr="00380867">
        <w:rPr>
          <w:rFonts w:ascii="Arial" w:eastAsia="Times New Roman" w:hAnsi="Arial" w:cs="Arial"/>
        </w:rPr>
        <w:t>Lifetech</w:t>
      </w:r>
      <w:proofErr w:type="spellEnd"/>
      <w:r w:rsidRPr="00380867">
        <w:rPr>
          <w:rFonts w:ascii="Arial" w:eastAsia="Times New Roman" w:hAnsi="Arial" w:cs="Arial"/>
        </w:rPr>
        <w:t xml:space="preserve"> donkey anti-goat A11058 or Invitrogen Goat anti-rabbit A11012) for two hours at room temperature. Sections were then washed three times in PBS followed by addition of </w:t>
      </w:r>
      <w:proofErr w:type="spellStart"/>
      <w:r w:rsidRPr="00380867">
        <w:rPr>
          <w:rFonts w:ascii="Arial" w:eastAsia="Times New Roman" w:hAnsi="Arial" w:cs="Arial"/>
        </w:rPr>
        <w:t>Dapi</w:t>
      </w:r>
      <w:proofErr w:type="spellEnd"/>
      <w:r w:rsidRPr="00380867">
        <w:rPr>
          <w:rFonts w:ascii="Arial" w:eastAsia="Times New Roman" w:hAnsi="Arial" w:cs="Arial"/>
        </w:rPr>
        <w:t xml:space="preserve"> (1:1000 dilution in PBS). Slides were briefly washed in PBS and then water before mounting with </w:t>
      </w:r>
      <w:proofErr w:type="spellStart"/>
      <w:r w:rsidRPr="00380867">
        <w:rPr>
          <w:rFonts w:ascii="Arial" w:eastAsia="Times New Roman" w:hAnsi="Arial" w:cs="Arial"/>
        </w:rPr>
        <w:t>SlowFade</w:t>
      </w:r>
      <w:proofErr w:type="spellEnd"/>
      <w:r w:rsidRPr="00380867">
        <w:rPr>
          <w:rFonts w:ascii="Arial" w:eastAsia="Times New Roman" w:hAnsi="Arial" w:cs="Arial"/>
        </w:rPr>
        <w:t xml:space="preserve"> Gold (Thermo, S36936). Results were visualized with a Nikon Eclipse 80i microscope with a QI-Click </w:t>
      </w:r>
      <w:proofErr w:type="spellStart"/>
      <w:r w:rsidRPr="00380867">
        <w:rPr>
          <w:rFonts w:ascii="Arial" w:eastAsia="Times New Roman" w:hAnsi="Arial" w:cs="Arial"/>
        </w:rPr>
        <w:t>Qimaging</w:t>
      </w:r>
      <w:proofErr w:type="spellEnd"/>
      <w:r w:rsidRPr="00380867">
        <w:rPr>
          <w:rFonts w:ascii="Arial" w:eastAsia="Times New Roman" w:hAnsi="Arial" w:cs="Arial"/>
        </w:rPr>
        <w:t xml:space="preserve"> camera. Carotid arteries were imaged at 20x magnification.</w:t>
      </w:r>
    </w:p>
    <w:p w14:paraId="5A2EC811" w14:textId="2CBCE8D8" w:rsidR="0014144F" w:rsidRDefault="0014144F">
      <w:pPr>
        <w:spacing w:after="0" w:line="480" w:lineRule="auto"/>
        <w:jc w:val="both"/>
        <w:rPr>
          <w:rFonts w:ascii="Arial" w:eastAsia="Times New Roman" w:hAnsi="Arial" w:cs="Arial"/>
        </w:rPr>
      </w:pPr>
      <w:r w:rsidRPr="00380867">
        <w:rPr>
          <w:rFonts w:ascii="Arial" w:eastAsia="Times New Roman" w:hAnsi="Arial" w:cs="Arial"/>
        </w:rPr>
        <w:tab/>
        <w:t xml:space="preserve">Images were quantified using ImageJ. The media of each section was traced using the polygon drawing tool, and its raw integrated intensity was divided by the area of the outlined media to obtain relative fluorescence intensity. The procedure was then repeated for the adventitial layer. Relative fluorescence intensity values were then plotted relative to the </w:t>
      </w:r>
      <w:r w:rsidR="00F51BB6">
        <w:rPr>
          <w:rFonts w:ascii="Arial" w:eastAsia="Times New Roman" w:hAnsi="Arial" w:cs="Arial"/>
        </w:rPr>
        <w:t>mean</w:t>
      </w:r>
      <w:r w:rsidR="00F51BB6" w:rsidRPr="00380867">
        <w:rPr>
          <w:rFonts w:ascii="Arial" w:eastAsia="Times New Roman" w:hAnsi="Arial" w:cs="Arial"/>
        </w:rPr>
        <w:t xml:space="preserve"> </w:t>
      </w:r>
      <w:r w:rsidRPr="00380867">
        <w:rPr>
          <w:rFonts w:ascii="Arial" w:eastAsia="Times New Roman" w:hAnsi="Arial" w:cs="Arial"/>
        </w:rPr>
        <w:t xml:space="preserve">fluorescence intensity value of the </w:t>
      </w:r>
      <w:r w:rsidR="001C66EE">
        <w:rPr>
          <w:rFonts w:ascii="Arial" w:eastAsia="Times New Roman" w:hAnsi="Arial" w:cs="Arial"/>
        </w:rPr>
        <w:t xml:space="preserve">corresponding </w:t>
      </w:r>
      <w:r w:rsidRPr="00380867">
        <w:rPr>
          <w:rFonts w:ascii="Arial" w:eastAsia="Times New Roman" w:hAnsi="Arial" w:cs="Arial"/>
        </w:rPr>
        <w:t>WT</w:t>
      </w:r>
      <w:r w:rsidR="001C66EE">
        <w:rPr>
          <w:rFonts w:ascii="Arial" w:eastAsia="Times New Roman" w:hAnsi="Arial" w:cs="Arial"/>
        </w:rPr>
        <w:t xml:space="preserve"> control</w:t>
      </w:r>
      <w:r w:rsidRPr="00380867">
        <w:rPr>
          <w:rFonts w:ascii="Arial" w:eastAsia="Times New Roman" w:hAnsi="Arial" w:cs="Arial"/>
        </w:rPr>
        <w:t xml:space="preserve">. </w:t>
      </w:r>
      <w:r w:rsidR="00F51BB6">
        <w:rPr>
          <w:rFonts w:ascii="Arial" w:eastAsia="Times New Roman" w:hAnsi="Arial" w:cs="Arial"/>
        </w:rPr>
        <w:t>F</w:t>
      </w:r>
      <w:r w:rsidRPr="00380867">
        <w:rPr>
          <w:rFonts w:ascii="Arial" w:eastAsia="Times New Roman" w:hAnsi="Arial" w:cs="Arial"/>
        </w:rPr>
        <w:t>luorescent intensity values were passed through a Grubbs</w:t>
      </w:r>
      <w:r w:rsidR="004E12E4">
        <w:rPr>
          <w:rFonts w:ascii="Arial" w:eastAsia="Times New Roman" w:hAnsi="Arial" w:cs="Arial"/>
        </w:rPr>
        <w:t>’</w:t>
      </w:r>
      <w:r w:rsidRPr="00380867">
        <w:rPr>
          <w:rFonts w:ascii="Arial" w:eastAsia="Times New Roman" w:hAnsi="Arial" w:cs="Arial"/>
        </w:rPr>
        <w:t xml:space="preserve"> test. Background intensity, as determined from the isotype-matched control antibodies, was negligible (see Fig S5). Results are presented as box plots with Tukey whiskers.</w:t>
      </w:r>
    </w:p>
    <w:p w14:paraId="6BC13170" w14:textId="6D9287BA" w:rsidR="00EF2735" w:rsidRDefault="00EF2735">
      <w:pPr>
        <w:spacing w:after="0" w:line="480" w:lineRule="auto"/>
        <w:jc w:val="both"/>
        <w:rPr>
          <w:rFonts w:ascii="Arial" w:eastAsia="Times New Roman" w:hAnsi="Arial" w:cs="Arial"/>
        </w:rPr>
      </w:pPr>
    </w:p>
    <w:p w14:paraId="296DD618" w14:textId="516E9DB9" w:rsidR="00EF2735" w:rsidRPr="00EF2735" w:rsidRDefault="00EF2735">
      <w:pPr>
        <w:spacing w:after="0" w:line="480" w:lineRule="auto"/>
        <w:jc w:val="both"/>
        <w:rPr>
          <w:rFonts w:ascii="Arial" w:eastAsia="Times New Roman" w:hAnsi="Arial" w:cs="Arial"/>
        </w:rPr>
      </w:pPr>
    </w:p>
    <w:p w14:paraId="39472E5E" w14:textId="1A6B3E1A" w:rsidR="00367443" w:rsidRPr="00380867" w:rsidRDefault="001C66EE">
      <w:pPr>
        <w:spacing w:after="0" w:line="480" w:lineRule="auto"/>
        <w:jc w:val="both"/>
        <w:outlineLvl w:val="0"/>
        <w:rPr>
          <w:rFonts w:ascii="Arial" w:eastAsia="Times New Roman" w:hAnsi="Arial" w:cs="Arial"/>
          <w:b/>
          <w:bCs/>
        </w:rPr>
      </w:pPr>
      <w:r>
        <w:rPr>
          <w:rFonts w:ascii="Arial" w:eastAsia="Times New Roman" w:hAnsi="Arial" w:cs="Arial"/>
          <w:bCs/>
          <w:i/>
        </w:rPr>
        <w:lastRenderedPageBreak/>
        <w:tab/>
      </w:r>
      <w:r w:rsidR="00367443" w:rsidRPr="00380867">
        <w:rPr>
          <w:rFonts w:ascii="Arial" w:eastAsia="Times New Roman" w:hAnsi="Arial" w:cs="Arial"/>
          <w:bCs/>
        </w:rPr>
        <w:t xml:space="preserve">Staining </w:t>
      </w:r>
      <w:r w:rsidR="00367443" w:rsidRPr="00380867">
        <w:rPr>
          <w:rFonts w:ascii="Arial" w:eastAsia="Times New Roman" w:hAnsi="Arial" w:cs="Arial"/>
        </w:rPr>
        <w:t xml:space="preserve">with Hematoxylin (Fisher, SH30-500D) and Eosin (Fisher, SE22-500D) </w:t>
      </w:r>
      <w:r w:rsidR="00F51BB6">
        <w:rPr>
          <w:rFonts w:ascii="Arial" w:eastAsia="Times New Roman" w:hAnsi="Arial" w:cs="Arial"/>
        </w:rPr>
        <w:t xml:space="preserve">was performed </w:t>
      </w:r>
      <w:r w:rsidR="00367443" w:rsidRPr="00380867">
        <w:rPr>
          <w:rFonts w:ascii="Arial" w:eastAsia="Times New Roman" w:hAnsi="Arial" w:cs="Arial"/>
        </w:rPr>
        <w:t>us</w:t>
      </w:r>
      <w:r w:rsidR="00F51BB6">
        <w:rPr>
          <w:rFonts w:ascii="Arial" w:eastAsia="Times New Roman" w:hAnsi="Arial" w:cs="Arial"/>
        </w:rPr>
        <w:t>ing</w:t>
      </w:r>
      <w:r w:rsidR="00367443" w:rsidRPr="00380867">
        <w:rPr>
          <w:rFonts w:ascii="Arial" w:eastAsia="Times New Roman" w:hAnsi="Arial" w:cs="Arial"/>
        </w:rPr>
        <w:t xml:space="preserve"> standard procedures. Apoptosis was determined by immunostaining for cleaved caspase-3 (Cell Signaling Technologies </w:t>
      </w:r>
      <w:proofErr w:type="spellStart"/>
      <w:r w:rsidR="00367443" w:rsidRPr="00380867">
        <w:rPr>
          <w:rFonts w:ascii="Arial" w:eastAsia="Times New Roman" w:hAnsi="Arial" w:cs="Arial"/>
        </w:rPr>
        <w:t>SignalStain</w:t>
      </w:r>
      <w:proofErr w:type="spellEnd"/>
      <w:r w:rsidR="00367443" w:rsidRPr="00380867">
        <w:rPr>
          <w:rFonts w:ascii="Arial" w:eastAsia="Times New Roman" w:hAnsi="Arial" w:cs="Arial"/>
        </w:rPr>
        <w:t xml:space="preserve"> Apoptosis IHC Detection kit, #12692S) according to manufactures instructions with tumor xenograft sections as positive controls. To determine calcium deposition, deparaffinized and hydrated </w:t>
      </w:r>
      <w:r w:rsidR="00B604A9">
        <w:rPr>
          <w:rFonts w:ascii="Arial" w:eastAsia="Times New Roman" w:hAnsi="Arial" w:cs="Arial"/>
        </w:rPr>
        <w:t>sections were incubated with</w:t>
      </w:r>
      <w:r w:rsidR="00367443" w:rsidRPr="00380867">
        <w:rPr>
          <w:rFonts w:ascii="Arial" w:eastAsia="Times New Roman" w:hAnsi="Arial" w:cs="Arial"/>
        </w:rPr>
        <w:t xml:space="preserve"> a 5% solution of Alizarin Red S (Sigma, A5533) pH 4.2 for 30 minutes</w:t>
      </w:r>
      <w:r w:rsidR="00B604A9">
        <w:rPr>
          <w:rFonts w:ascii="Arial" w:eastAsia="Times New Roman" w:hAnsi="Arial" w:cs="Arial"/>
        </w:rPr>
        <w:t xml:space="preserve">, </w:t>
      </w:r>
      <w:r w:rsidR="00367443" w:rsidRPr="00380867">
        <w:rPr>
          <w:rFonts w:ascii="Arial" w:eastAsia="Times New Roman" w:hAnsi="Arial" w:cs="Arial"/>
        </w:rPr>
        <w:t>with calcified bone tissue as positive control. Arterial elastin layers were visualized by autofluorescence using a cyan filter on a Nikon Eclipse 80i Fluorescence microscope.</w:t>
      </w:r>
    </w:p>
    <w:p w14:paraId="552CDF49" w14:textId="58CBA83B" w:rsidR="007619AE" w:rsidRPr="00380867" w:rsidRDefault="007619AE">
      <w:pPr>
        <w:spacing w:after="0" w:line="480" w:lineRule="auto"/>
        <w:jc w:val="both"/>
        <w:rPr>
          <w:rFonts w:ascii="Arial" w:eastAsia="Times New Roman" w:hAnsi="Arial" w:cs="Arial"/>
        </w:rPr>
      </w:pPr>
    </w:p>
    <w:p w14:paraId="7FA601A2" w14:textId="16BF1086" w:rsidR="00605C51" w:rsidRDefault="00367443">
      <w:pPr>
        <w:pStyle w:val="NormalWeb"/>
        <w:spacing w:before="0" w:beforeAutospacing="0" w:after="0" w:afterAutospacing="0" w:line="480" w:lineRule="auto"/>
        <w:jc w:val="both"/>
        <w:rPr>
          <w:rFonts w:ascii="Arial" w:eastAsia="Times New Roman" w:hAnsi="Arial" w:cs="Arial"/>
          <w:sz w:val="22"/>
          <w:szCs w:val="22"/>
        </w:rPr>
      </w:pPr>
      <w:r w:rsidRPr="00380867">
        <w:rPr>
          <w:rFonts w:ascii="Arial" w:eastAsia="Times New Roman" w:hAnsi="Arial" w:cs="Arial"/>
          <w:i/>
          <w:sz w:val="22"/>
          <w:szCs w:val="22"/>
        </w:rPr>
        <w:t xml:space="preserve">Quantification of collagen within elastin folds. </w:t>
      </w:r>
      <w:r w:rsidRPr="00380867">
        <w:rPr>
          <w:rFonts w:ascii="Arial" w:eastAsia="Times New Roman" w:hAnsi="Arial" w:cs="Arial"/>
          <w:sz w:val="22"/>
          <w:szCs w:val="22"/>
        </w:rPr>
        <w:t xml:space="preserve">TEM images of </w:t>
      </w:r>
      <w:r w:rsidR="00B604A9">
        <w:rPr>
          <w:rFonts w:ascii="Arial" w:eastAsia="Times New Roman" w:hAnsi="Arial" w:cs="Arial"/>
          <w:sz w:val="22"/>
          <w:szCs w:val="22"/>
        </w:rPr>
        <w:t>vehicle</w:t>
      </w:r>
      <w:r w:rsidR="00C1284D">
        <w:rPr>
          <w:rFonts w:ascii="Arial" w:eastAsia="Times New Roman" w:hAnsi="Arial" w:cs="Arial"/>
          <w:sz w:val="22"/>
          <w:szCs w:val="22"/>
        </w:rPr>
        <w:t xml:space="preserve"> (PBS)</w:t>
      </w:r>
      <w:r w:rsidR="00B604A9">
        <w:rPr>
          <w:rFonts w:ascii="Arial" w:eastAsia="Times New Roman" w:hAnsi="Arial" w:cs="Arial"/>
          <w:sz w:val="22"/>
          <w:szCs w:val="22"/>
        </w:rPr>
        <w:t>-treated or</w:t>
      </w:r>
      <w:r w:rsidR="00C1284D">
        <w:rPr>
          <w:rFonts w:ascii="Arial" w:eastAsia="Times New Roman" w:hAnsi="Arial" w:cs="Arial"/>
          <w:sz w:val="22"/>
          <w:szCs w:val="22"/>
        </w:rPr>
        <w:t xml:space="preserve"> untreated </w:t>
      </w:r>
      <w:r w:rsidRPr="00380867">
        <w:rPr>
          <w:rFonts w:ascii="Arial" w:eastAsia="Times New Roman" w:hAnsi="Arial" w:cs="Arial"/>
          <w:sz w:val="22"/>
          <w:szCs w:val="22"/>
        </w:rPr>
        <w:t>WT and HGPS carotid arteries were taken at 7500</w:t>
      </w:r>
      <w:r w:rsidR="0009502B">
        <w:rPr>
          <w:rFonts w:ascii="Arial" w:eastAsia="Times New Roman" w:hAnsi="Arial" w:cs="Arial"/>
          <w:sz w:val="22"/>
          <w:szCs w:val="22"/>
        </w:rPr>
        <w:t xml:space="preserve"> </w:t>
      </w:r>
      <w:r w:rsidRPr="00380867">
        <w:rPr>
          <w:rFonts w:ascii="Arial" w:eastAsia="Times New Roman" w:hAnsi="Arial" w:cs="Arial"/>
          <w:sz w:val="22"/>
          <w:szCs w:val="22"/>
        </w:rPr>
        <w:t>x magnification to visualize the elastin folds (Fig S</w:t>
      </w:r>
      <w:r w:rsidR="00C1284D">
        <w:rPr>
          <w:rFonts w:ascii="Arial" w:eastAsia="Times New Roman" w:hAnsi="Arial" w:cs="Arial"/>
          <w:sz w:val="22"/>
          <w:szCs w:val="22"/>
        </w:rPr>
        <w:t>5</w:t>
      </w:r>
      <w:r w:rsidRPr="00380867">
        <w:rPr>
          <w:rFonts w:ascii="Arial" w:eastAsia="Times New Roman" w:hAnsi="Arial" w:cs="Arial"/>
          <w:sz w:val="22"/>
          <w:szCs w:val="22"/>
        </w:rPr>
        <w:t>; A1). The folds were defined as areas where the elastin invaginates, creating a roughly parabolic shape (Fig. S</w:t>
      </w:r>
      <w:r w:rsidR="00C1284D">
        <w:rPr>
          <w:rFonts w:ascii="Arial" w:eastAsia="Times New Roman" w:hAnsi="Arial" w:cs="Arial"/>
          <w:sz w:val="22"/>
          <w:szCs w:val="22"/>
        </w:rPr>
        <w:t>5</w:t>
      </w:r>
      <w:r w:rsidRPr="00380867">
        <w:rPr>
          <w:rFonts w:ascii="Arial" w:eastAsia="Times New Roman" w:hAnsi="Arial" w:cs="Arial"/>
          <w:sz w:val="22"/>
          <w:szCs w:val="22"/>
        </w:rPr>
        <w:t>; A2). Using the polygon Selection Tool in ImageJ, an area was defined by continuously tracing along the two sides of the parabolic shape; that region was then enclosed by connecting the two apexes with a straight line (Fig. S</w:t>
      </w:r>
      <w:r w:rsidR="00C1284D">
        <w:rPr>
          <w:rFonts w:ascii="Arial" w:eastAsia="Times New Roman" w:hAnsi="Arial" w:cs="Arial"/>
          <w:sz w:val="22"/>
          <w:szCs w:val="22"/>
        </w:rPr>
        <w:t>5</w:t>
      </w:r>
      <w:r w:rsidRPr="00380867">
        <w:rPr>
          <w:rFonts w:ascii="Arial" w:eastAsia="Times New Roman" w:hAnsi="Arial" w:cs="Arial"/>
          <w:sz w:val="22"/>
          <w:szCs w:val="22"/>
        </w:rPr>
        <w:t>; A3). This area was added to the ROI Manager to calculate total area of the elastin fold. To calculate the area within the fold containing collagen, the Paintbrush Tool was used to manually black-out areas containing collagen fibers (Fig. S</w:t>
      </w:r>
      <w:r w:rsidR="00C1284D">
        <w:rPr>
          <w:rFonts w:ascii="Arial" w:eastAsia="Times New Roman" w:hAnsi="Arial" w:cs="Arial"/>
          <w:sz w:val="22"/>
          <w:szCs w:val="22"/>
        </w:rPr>
        <w:t>5</w:t>
      </w:r>
      <w:r w:rsidRPr="00380867">
        <w:rPr>
          <w:rFonts w:ascii="Arial" w:eastAsia="Times New Roman" w:hAnsi="Arial" w:cs="Arial"/>
          <w:sz w:val="22"/>
          <w:szCs w:val="22"/>
        </w:rPr>
        <w:t>; A4). The painted area was isolated with the Threshold Tool (Fig. S</w:t>
      </w:r>
      <w:r w:rsidR="00C1284D">
        <w:rPr>
          <w:rFonts w:ascii="Arial" w:eastAsia="Times New Roman" w:hAnsi="Arial" w:cs="Arial"/>
          <w:sz w:val="22"/>
          <w:szCs w:val="22"/>
        </w:rPr>
        <w:t>5</w:t>
      </w:r>
      <w:r w:rsidRPr="00380867">
        <w:rPr>
          <w:rFonts w:ascii="Arial" w:eastAsia="Times New Roman" w:hAnsi="Arial" w:cs="Arial"/>
          <w:sz w:val="22"/>
          <w:szCs w:val="22"/>
        </w:rPr>
        <w:t>; A5) and added to the ROI manager (Fig. S</w:t>
      </w:r>
      <w:r w:rsidR="00C1284D">
        <w:rPr>
          <w:rFonts w:ascii="Arial" w:eastAsia="Times New Roman" w:hAnsi="Arial" w:cs="Arial"/>
          <w:sz w:val="22"/>
          <w:szCs w:val="22"/>
        </w:rPr>
        <w:t>5</w:t>
      </w:r>
      <w:r w:rsidRPr="00380867">
        <w:rPr>
          <w:rFonts w:ascii="Arial" w:eastAsia="Times New Roman" w:hAnsi="Arial" w:cs="Arial"/>
          <w:sz w:val="22"/>
          <w:szCs w:val="22"/>
        </w:rPr>
        <w:t>; A6). The ratio of collagen/total areas was defined as percent collagen in the elastin fold.</w:t>
      </w:r>
    </w:p>
    <w:p w14:paraId="0814516F" w14:textId="0E84C11E" w:rsidR="00CC4F4D" w:rsidRDefault="00CC4F4D">
      <w:pPr>
        <w:pStyle w:val="NormalWeb"/>
        <w:spacing w:before="0" w:beforeAutospacing="0" w:after="0" w:afterAutospacing="0" w:line="480" w:lineRule="auto"/>
        <w:jc w:val="both"/>
        <w:rPr>
          <w:rFonts w:ascii="Arial" w:eastAsia="Times New Roman" w:hAnsi="Arial" w:cs="Arial"/>
          <w:sz w:val="22"/>
          <w:szCs w:val="22"/>
        </w:rPr>
      </w:pPr>
    </w:p>
    <w:p w14:paraId="66A58A4A" w14:textId="24DA3A85" w:rsidR="00CC4F4D" w:rsidRDefault="00CC4F4D">
      <w:pPr>
        <w:spacing w:after="0" w:line="480" w:lineRule="auto"/>
        <w:jc w:val="both"/>
        <w:rPr>
          <w:rFonts w:ascii="Arial" w:eastAsia="Times New Roman" w:hAnsi="Arial" w:cs="Arial"/>
        </w:rPr>
      </w:pPr>
      <w:r w:rsidRPr="00380867">
        <w:rPr>
          <w:rFonts w:ascii="Arial" w:eastAsia="Times New Roman" w:hAnsi="Arial" w:cs="Arial"/>
          <w:i/>
        </w:rPr>
        <w:t>RT-qPCR</w:t>
      </w:r>
      <w:r w:rsidR="00B604A9">
        <w:rPr>
          <w:rFonts w:ascii="Arial" w:eastAsia="Times New Roman" w:hAnsi="Arial" w:cs="Arial"/>
          <w:i/>
        </w:rPr>
        <w:t xml:space="preserve"> of mRNAs and </w:t>
      </w:r>
      <w:proofErr w:type="spellStart"/>
      <w:r w:rsidR="00B604A9">
        <w:rPr>
          <w:rFonts w:ascii="Arial" w:eastAsia="Times New Roman" w:hAnsi="Arial" w:cs="Arial"/>
          <w:i/>
        </w:rPr>
        <w:t>miRs</w:t>
      </w:r>
      <w:proofErr w:type="spellEnd"/>
      <w:r w:rsidRPr="00380867">
        <w:rPr>
          <w:rFonts w:ascii="Arial" w:eastAsia="Times New Roman" w:hAnsi="Arial" w:cs="Arial"/>
        </w:rPr>
        <w:t xml:space="preserve">. Descending aortas from 2-month WT and HGPS mice were isolated </w:t>
      </w:r>
      <w:r>
        <w:rPr>
          <w:rFonts w:ascii="Arial" w:eastAsia="Times New Roman" w:hAnsi="Arial" w:cs="Arial"/>
        </w:rPr>
        <w:t xml:space="preserve">and </w:t>
      </w:r>
      <w:r w:rsidRPr="00380867">
        <w:rPr>
          <w:rFonts w:ascii="Arial" w:eastAsia="Times New Roman" w:hAnsi="Arial" w:cs="Arial"/>
        </w:rPr>
        <w:t>stripped of adventitia.</w:t>
      </w:r>
      <w:r>
        <w:rPr>
          <w:rFonts w:ascii="Arial" w:eastAsia="Times New Roman" w:hAnsi="Arial" w:cs="Arial"/>
        </w:rPr>
        <w:t xml:space="preserve"> The adventitial and </w:t>
      </w:r>
      <w:r w:rsidR="00B604A9">
        <w:rPr>
          <w:rFonts w:ascii="Arial" w:eastAsia="Times New Roman" w:hAnsi="Arial" w:cs="Arial"/>
        </w:rPr>
        <w:t xml:space="preserve">remaining </w:t>
      </w:r>
      <w:r>
        <w:rPr>
          <w:rFonts w:ascii="Arial" w:eastAsia="Times New Roman" w:hAnsi="Arial" w:cs="Arial"/>
        </w:rPr>
        <w:t xml:space="preserve">medial/intimal (referred to as medial tissue in the text) tissues were stored separately in </w:t>
      </w:r>
      <w:proofErr w:type="spellStart"/>
      <w:r>
        <w:rPr>
          <w:rFonts w:ascii="Arial" w:eastAsia="Times New Roman" w:hAnsi="Arial" w:cs="Arial"/>
        </w:rPr>
        <w:t>RNAlater</w:t>
      </w:r>
      <w:proofErr w:type="spellEnd"/>
      <w:r>
        <w:rPr>
          <w:rFonts w:ascii="Arial" w:eastAsia="Times New Roman" w:hAnsi="Arial" w:cs="Arial"/>
        </w:rPr>
        <w:t xml:space="preserve"> (Qiagen) at </w:t>
      </w:r>
      <w:r w:rsidR="00F51BB6">
        <w:rPr>
          <w:rFonts w:ascii="Arial" w:eastAsia="Times New Roman" w:hAnsi="Arial" w:cs="Arial"/>
        </w:rPr>
        <w:t>-80</w:t>
      </w:r>
      <w:r w:rsidR="0009502B" w:rsidRPr="00E6189E">
        <w:rPr>
          <w:rFonts w:ascii="Arial" w:eastAsia="Times New Roman" w:hAnsi="Arial" w:cs="Arial"/>
          <w:vertAlign w:val="superscript"/>
        </w:rPr>
        <w:t>o</w:t>
      </w:r>
      <w:r>
        <w:rPr>
          <w:rFonts w:ascii="Arial" w:eastAsia="Times New Roman" w:hAnsi="Arial" w:cs="Arial"/>
        </w:rPr>
        <w:t>C for subsequent analysis.</w:t>
      </w:r>
      <w:r w:rsidRPr="00380867">
        <w:rPr>
          <w:rFonts w:ascii="Arial" w:eastAsia="Times New Roman" w:hAnsi="Arial" w:cs="Arial"/>
        </w:rPr>
        <w:t xml:space="preserve"> To strip adventitia from the aorta, a cleaned isolated aorta was incubated in 1 mg/ml Type 2 collagenase (Worthington </w:t>
      </w:r>
      <w:proofErr w:type="spellStart"/>
      <w:r w:rsidRPr="00380867">
        <w:rPr>
          <w:rFonts w:ascii="Arial" w:eastAsia="Times New Roman" w:hAnsi="Arial" w:cs="Arial"/>
        </w:rPr>
        <w:t>Biochem</w:t>
      </w:r>
      <w:proofErr w:type="spellEnd"/>
      <w:r w:rsidRPr="00380867">
        <w:rPr>
          <w:rFonts w:ascii="Arial" w:eastAsia="Times New Roman" w:hAnsi="Arial" w:cs="Arial"/>
        </w:rPr>
        <w:t xml:space="preserve">, LS004174) in Hanks Balanced Salt Solution </w:t>
      </w:r>
      <w:r w:rsidRPr="00380867">
        <w:rPr>
          <w:rFonts w:ascii="Arial" w:eastAsia="Times New Roman" w:hAnsi="Arial" w:cs="Arial"/>
        </w:rPr>
        <w:lastRenderedPageBreak/>
        <w:t>(</w:t>
      </w:r>
      <w:proofErr w:type="spellStart"/>
      <w:r w:rsidRPr="00380867">
        <w:rPr>
          <w:rFonts w:ascii="Arial" w:eastAsia="Times New Roman" w:hAnsi="Arial" w:cs="Arial"/>
        </w:rPr>
        <w:t>Lifetech</w:t>
      </w:r>
      <w:proofErr w:type="spellEnd"/>
      <w:r w:rsidRPr="00380867">
        <w:rPr>
          <w:rFonts w:ascii="Arial" w:eastAsia="Times New Roman" w:hAnsi="Arial" w:cs="Arial"/>
        </w:rPr>
        <w:t>, 14170-112) for 10 minutes at 37</w:t>
      </w:r>
      <w:r w:rsidRPr="00380867">
        <w:rPr>
          <w:rFonts w:ascii="Arial" w:eastAsia="Times New Roman" w:hAnsi="Arial" w:cs="Arial"/>
          <w:vertAlign w:val="superscript"/>
        </w:rPr>
        <w:t>o</w:t>
      </w:r>
      <w:r w:rsidRPr="00380867">
        <w:rPr>
          <w:rFonts w:ascii="Arial" w:eastAsia="Times New Roman" w:hAnsi="Arial" w:cs="Arial"/>
        </w:rPr>
        <w:t>C. The adventitial layer was carefully peeled off before storing the aorta</w:t>
      </w:r>
      <w:r w:rsidR="008C0022">
        <w:rPr>
          <w:rFonts w:ascii="Arial" w:eastAsia="Times New Roman" w:hAnsi="Arial" w:cs="Arial"/>
        </w:rPr>
        <w:t xml:space="preserve"> (intimal/medial and adventitial layers separately)</w:t>
      </w:r>
      <w:r w:rsidRPr="00380867">
        <w:rPr>
          <w:rFonts w:ascii="Arial" w:eastAsia="Times New Roman" w:hAnsi="Arial" w:cs="Arial"/>
        </w:rPr>
        <w:t xml:space="preserve"> in </w:t>
      </w:r>
      <w:proofErr w:type="spellStart"/>
      <w:r w:rsidRPr="00380867">
        <w:rPr>
          <w:rFonts w:ascii="Arial" w:eastAsia="Times New Roman" w:hAnsi="Arial" w:cs="Arial"/>
        </w:rPr>
        <w:t>RNAlater</w:t>
      </w:r>
      <w:proofErr w:type="spellEnd"/>
      <w:r w:rsidRPr="00380867">
        <w:rPr>
          <w:rFonts w:ascii="Arial" w:eastAsia="Times New Roman" w:hAnsi="Arial" w:cs="Arial"/>
        </w:rPr>
        <w:t xml:space="preserve">. Total RNA was isolated with the RNeasy Fibrous Tissue Mini Kit (Qiagen) according to manufacturer's instructions and using 0.3 ml buffer RLT per aorta. Reverse transcription </w:t>
      </w:r>
      <w:r w:rsidRPr="00B2319C">
        <w:rPr>
          <w:rFonts w:ascii="Arial" w:eastAsia="Times New Roman" w:hAnsi="Arial" w:cs="Arial"/>
        </w:rPr>
        <w:t xml:space="preserve">reactions contained 200-500 ng of total RNA. RNA was extracted from </w:t>
      </w:r>
      <w:r w:rsidR="00B604A9">
        <w:rPr>
          <w:rFonts w:ascii="Arial" w:eastAsia="Times New Roman" w:hAnsi="Arial" w:cs="Arial"/>
        </w:rPr>
        <w:t xml:space="preserve">cultures of </w:t>
      </w:r>
      <w:r w:rsidRPr="00B2319C">
        <w:rPr>
          <w:rFonts w:ascii="Arial" w:eastAsia="Times New Roman" w:hAnsi="Arial" w:cs="Arial"/>
        </w:rPr>
        <w:t xml:space="preserve">primary SMCs with </w:t>
      </w:r>
      <w:proofErr w:type="spellStart"/>
      <w:r w:rsidRPr="00B2319C">
        <w:rPr>
          <w:rFonts w:ascii="Arial" w:eastAsia="Times New Roman" w:hAnsi="Arial" w:cs="Arial"/>
        </w:rPr>
        <w:t>TRIzo</w:t>
      </w:r>
      <w:r w:rsidR="00B604A9">
        <w:rPr>
          <w:rFonts w:ascii="Arial" w:eastAsia="Times New Roman" w:hAnsi="Arial" w:cs="Arial"/>
        </w:rPr>
        <w:t>l</w:t>
      </w:r>
      <w:proofErr w:type="spellEnd"/>
      <w:r w:rsidRPr="00B2319C">
        <w:rPr>
          <w:rFonts w:ascii="Arial" w:eastAsia="Times New Roman" w:hAnsi="Arial" w:cs="Arial"/>
        </w:rPr>
        <w:t xml:space="preserve"> reagent (</w:t>
      </w:r>
      <w:proofErr w:type="spellStart"/>
      <w:r w:rsidRPr="00B2319C">
        <w:rPr>
          <w:rFonts w:ascii="Arial" w:eastAsia="Times New Roman" w:hAnsi="Arial" w:cs="Arial"/>
        </w:rPr>
        <w:t>Thermofisher</w:t>
      </w:r>
      <w:proofErr w:type="spellEnd"/>
      <w:r w:rsidRPr="00B2319C">
        <w:rPr>
          <w:rFonts w:ascii="Arial" w:eastAsia="Times New Roman" w:hAnsi="Arial" w:cs="Arial"/>
        </w:rPr>
        <w:t xml:space="preserve"> 15596026) according to manufacturer’s instruction. microRNA was reverse</w:t>
      </w:r>
      <w:r>
        <w:rPr>
          <w:rFonts w:ascii="Arial" w:eastAsia="Times New Roman" w:hAnsi="Arial" w:cs="Arial"/>
        </w:rPr>
        <w:t xml:space="preserve"> transcribed from total RNA using </w:t>
      </w:r>
      <w:r w:rsidR="00B604A9">
        <w:rPr>
          <w:rFonts w:ascii="Arial" w:eastAsia="Times New Roman" w:hAnsi="Arial" w:cs="Arial"/>
        </w:rPr>
        <w:t xml:space="preserve">the </w:t>
      </w:r>
      <w:r w:rsidR="00CD664B">
        <w:rPr>
          <w:rFonts w:ascii="Arial" w:eastAsia="Times New Roman" w:hAnsi="Arial" w:cs="Arial"/>
        </w:rPr>
        <w:t>TaqMan</w:t>
      </w:r>
      <w:r>
        <w:rPr>
          <w:rFonts w:ascii="Arial" w:eastAsia="Times New Roman" w:hAnsi="Arial" w:cs="Arial"/>
        </w:rPr>
        <w:t xml:space="preserve"> microRNA reverse transcription kit (ABI 4366596). </w:t>
      </w:r>
    </w:p>
    <w:p w14:paraId="77B7250A" w14:textId="06BF3143" w:rsidR="00CC4F4D" w:rsidRDefault="00CC4F4D">
      <w:pPr>
        <w:spacing w:after="0" w:line="480" w:lineRule="auto"/>
        <w:jc w:val="both"/>
        <w:rPr>
          <w:rFonts w:ascii="Arial" w:eastAsia="Times New Roman" w:hAnsi="Arial" w:cs="Arial"/>
        </w:rPr>
      </w:pPr>
      <w:r>
        <w:rPr>
          <w:rFonts w:ascii="Arial" w:eastAsia="Times New Roman" w:hAnsi="Arial" w:cs="Arial"/>
        </w:rPr>
        <w:tab/>
      </w:r>
      <w:r w:rsidRPr="00380867">
        <w:rPr>
          <w:rFonts w:ascii="Arial" w:eastAsia="Times New Roman" w:hAnsi="Arial" w:cs="Arial"/>
        </w:rPr>
        <w:t xml:space="preserve">Ten to fifteen percent of the cDNA was subjected to qPCR with the following primer-probe sets from Applied Biosystems: </w:t>
      </w:r>
      <w:r w:rsidRPr="00380867">
        <w:rPr>
          <w:rFonts w:ascii="Arial" w:eastAsia="Times New Roman" w:hAnsi="Arial" w:cs="Arial"/>
          <w:shd w:val="clear" w:color="auto" w:fill="FFFFFF"/>
        </w:rPr>
        <w:t>Col1a1 (Mm00801666_g1), Col3a1 (Mm00802300_m1), Col5a1 (Mm00489299_m1)</w:t>
      </w:r>
      <w:r w:rsidRPr="00380867">
        <w:rPr>
          <w:rFonts w:ascii="Arial" w:eastAsia="Times New Roman" w:hAnsi="Arial" w:cs="Arial"/>
        </w:rPr>
        <w:t>; LOX (Mm00495386_m1), LOXL1 (Mm01145738_m1), LOXL2 (Mm00804740), LOXL3 (Mm01184865_m1), LOXL4 (Mm00446385)</w:t>
      </w:r>
      <w:r>
        <w:rPr>
          <w:rFonts w:ascii="Arial" w:eastAsia="Times New Roman" w:hAnsi="Arial" w:cs="Arial"/>
        </w:rPr>
        <w:t>, has-miR-145 (TM: 002278), SnoRNA202 (TM:001232)</w:t>
      </w:r>
      <w:r w:rsidRPr="00380867">
        <w:rPr>
          <w:rFonts w:ascii="Arial" w:eastAsia="Times New Roman" w:hAnsi="Arial" w:cs="Arial"/>
        </w:rPr>
        <w:t>. The primer-probe set for 18</w:t>
      </w:r>
      <w:r>
        <w:rPr>
          <w:rFonts w:ascii="Arial" w:eastAsia="Times New Roman" w:hAnsi="Arial" w:cs="Arial"/>
        </w:rPr>
        <w:t>S</w:t>
      </w:r>
      <w:r w:rsidRPr="00380867">
        <w:rPr>
          <w:rFonts w:ascii="Arial" w:eastAsia="Times New Roman" w:hAnsi="Arial" w:cs="Arial"/>
        </w:rPr>
        <w:t xml:space="preserve"> rRNA has been described </w:t>
      </w:r>
      <w:r>
        <w:rPr>
          <w:rFonts w:ascii="Arial" w:eastAsia="Times New Roman" w:hAnsi="Arial" w:cs="Arial"/>
        </w:rPr>
        <w:t>(16).</w:t>
      </w:r>
      <w:r w:rsidRPr="00380867">
        <w:rPr>
          <w:rFonts w:ascii="Arial" w:eastAsia="Times New Roman" w:hAnsi="Arial" w:cs="Arial"/>
        </w:rPr>
        <w:t xml:space="preserve"> </w:t>
      </w:r>
      <w:r>
        <w:rPr>
          <w:rFonts w:ascii="Arial" w:eastAsia="Times New Roman" w:hAnsi="Arial" w:cs="Arial"/>
        </w:rPr>
        <w:t>qPCR samples were analyzed in duplicates. Levels of each tested transcript</w:t>
      </w:r>
      <w:r w:rsidRPr="00380867">
        <w:rPr>
          <w:rFonts w:ascii="Arial" w:eastAsia="Times New Roman" w:hAnsi="Arial" w:cs="Arial"/>
        </w:rPr>
        <w:t xml:space="preserve"> were normalized to 18S rRNA</w:t>
      </w:r>
      <w:r>
        <w:rPr>
          <w:rFonts w:ascii="Arial" w:eastAsia="Times New Roman" w:hAnsi="Arial" w:cs="Arial"/>
        </w:rPr>
        <w:t xml:space="preserve"> </w:t>
      </w:r>
      <w:r w:rsidR="00F51BB6">
        <w:rPr>
          <w:rFonts w:ascii="Arial" w:eastAsia="Times New Roman" w:hAnsi="Arial" w:cs="Arial"/>
        </w:rPr>
        <w:t xml:space="preserve">(for mRNA) </w:t>
      </w:r>
      <w:r>
        <w:rPr>
          <w:rFonts w:ascii="Arial" w:eastAsia="Times New Roman" w:hAnsi="Arial" w:cs="Arial"/>
        </w:rPr>
        <w:t>or SnoRNA202</w:t>
      </w:r>
      <w:r w:rsidR="00F51BB6">
        <w:rPr>
          <w:rFonts w:ascii="Arial" w:eastAsia="Times New Roman" w:hAnsi="Arial" w:cs="Arial"/>
        </w:rPr>
        <w:t xml:space="preserve"> (for miRNA)</w:t>
      </w:r>
      <w:r w:rsidRPr="00380867">
        <w:rPr>
          <w:rFonts w:ascii="Arial" w:eastAsia="Times New Roman" w:hAnsi="Arial" w:cs="Arial"/>
        </w:rPr>
        <w:t xml:space="preserve">, and changes in RNA abundance were calculated using the </w:t>
      </w:r>
      <w:proofErr w:type="spellStart"/>
      <w:r w:rsidRPr="00380867">
        <w:rPr>
          <w:rFonts w:ascii="Arial" w:eastAsia="Times New Roman" w:hAnsi="Arial" w:cs="Arial"/>
        </w:rPr>
        <w:t>ddCT</w:t>
      </w:r>
      <w:proofErr w:type="spellEnd"/>
      <w:r w:rsidRPr="00380867">
        <w:rPr>
          <w:rFonts w:ascii="Arial" w:eastAsia="Times New Roman" w:hAnsi="Arial" w:cs="Arial"/>
        </w:rPr>
        <w:t xml:space="preserve"> method. </w:t>
      </w:r>
    </w:p>
    <w:p w14:paraId="6ADB040D" w14:textId="6F374FEB" w:rsidR="00367443" w:rsidRPr="00380867" w:rsidRDefault="00367443">
      <w:pPr>
        <w:spacing w:after="0" w:line="480" w:lineRule="auto"/>
        <w:jc w:val="both"/>
      </w:pPr>
    </w:p>
    <w:p w14:paraId="5A0AA2FA" w14:textId="763048F5" w:rsidR="00510A3B" w:rsidRDefault="00391C8E">
      <w:pPr>
        <w:spacing w:after="0" w:line="480" w:lineRule="auto"/>
        <w:jc w:val="both"/>
        <w:rPr>
          <w:rFonts w:ascii="Arial" w:eastAsia="Times New Roman" w:hAnsi="Arial" w:cs="Arial"/>
        </w:rPr>
      </w:pPr>
      <w:r w:rsidRPr="00E6189E">
        <w:rPr>
          <w:rFonts w:ascii="Arial" w:eastAsia="Times New Roman" w:hAnsi="Arial" w:cs="Arial"/>
          <w:i/>
          <w:iCs/>
        </w:rPr>
        <w:t>Immunoblotting</w:t>
      </w:r>
      <w:r w:rsidR="00E6189E">
        <w:rPr>
          <w:rFonts w:ascii="Arial" w:eastAsia="Times New Roman" w:hAnsi="Arial" w:cs="Arial"/>
        </w:rPr>
        <w:t>.</w:t>
      </w:r>
      <w:r>
        <w:rPr>
          <w:rFonts w:ascii="Arial" w:eastAsia="Times New Roman" w:hAnsi="Arial" w:cs="Arial"/>
          <w:b/>
          <w:bCs/>
        </w:rPr>
        <w:t xml:space="preserve"> </w:t>
      </w:r>
      <w:r w:rsidR="00B604A9">
        <w:rPr>
          <w:rFonts w:ascii="Arial" w:eastAsia="Times New Roman" w:hAnsi="Arial" w:cs="Arial"/>
        </w:rPr>
        <w:t xml:space="preserve">Intact </w:t>
      </w:r>
      <w:r w:rsidR="00292347">
        <w:rPr>
          <w:rFonts w:ascii="Arial" w:eastAsia="Times New Roman" w:hAnsi="Arial" w:cs="Arial"/>
        </w:rPr>
        <w:t xml:space="preserve">descending </w:t>
      </w:r>
      <w:r>
        <w:rPr>
          <w:rFonts w:ascii="Arial" w:eastAsia="Times New Roman" w:hAnsi="Arial" w:cs="Arial"/>
        </w:rPr>
        <w:t xml:space="preserve">aortas </w:t>
      </w:r>
      <w:r w:rsidR="00292347">
        <w:rPr>
          <w:rFonts w:ascii="Arial" w:eastAsia="Times New Roman" w:hAnsi="Arial" w:cs="Arial"/>
        </w:rPr>
        <w:t xml:space="preserve">(consisting of the </w:t>
      </w:r>
      <w:r w:rsidR="00CD762A">
        <w:rPr>
          <w:rFonts w:ascii="Arial" w:eastAsia="Times New Roman" w:hAnsi="Arial" w:cs="Arial"/>
        </w:rPr>
        <w:t xml:space="preserve">adventitia, media and intima) that had been </w:t>
      </w:r>
      <w:r>
        <w:rPr>
          <w:rFonts w:ascii="Arial" w:eastAsia="Times New Roman" w:hAnsi="Arial" w:cs="Arial"/>
        </w:rPr>
        <w:t xml:space="preserve">stored in </w:t>
      </w:r>
      <w:proofErr w:type="spellStart"/>
      <w:r>
        <w:rPr>
          <w:rFonts w:ascii="Arial" w:eastAsia="Times New Roman" w:hAnsi="Arial" w:cs="Arial"/>
        </w:rPr>
        <w:t>RNAlater</w:t>
      </w:r>
      <w:proofErr w:type="spellEnd"/>
      <w:r>
        <w:rPr>
          <w:rFonts w:ascii="Arial" w:eastAsia="Times New Roman" w:hAnsi="Arial" w:cs="Arial"/>
        </w:rPr>
        <w:t xml:space="preserve"> </w:t>
      </w:r>
      <w:r w:rsidR="00CC4F4D">
        <w:rPr>
          <w:rFonts w:ascii="Arial" w:eastAsia="Times New Roman" w:hAnsi="Arial" w:cs="Arial"/>
        </w:rPr>
        <w:t xml:space="preserve">(Thermo-Fisher) </w:t>
      </w:r>
      <w:r>
        <w:rPr>
          <w:rFonts w:ascii="Arial" w:eastAsia="Times New Roman" w:hAnsi="Arial" w:cs="Arial"/>
        </w:rPr>
        <w:t xml:space="preserve">were chopped into </w:t>
      </w:r>
      <w:r w:rsidR="00CC4F4D">
        <w:rPr>
          <w:rFonts w:ascii="Arial" w:eastAsia="Times New Roman" w:hAnsi="Arial" w:cs="Arial"/>
        </w:rPr>
        <w:t xml:space="preserve">small </w:t>
      </w:r>
      <w:r>
        <w:rPr>
          <w:rFonts w:ascii="Arial" w:eastAsia="Times New Roman" w:hAnsi="Arial" w:cs="Arial"/>
        </w:rPr>
        <w:t xml:space="preserve">pieces and sonicated in </w:t>
      </w:r>
      <w:r w:rsidR="003A429C">
        <w:rPr>
          <w:rFonts w:ascii="Arial" w:eastAsia="Times New Roman" w:hAnsi="Arial" w:cs="Arial"/>
        </w:rPr>
        <w:t>l</w:t>
      </w:r>
      <w:r w:rsidR="00447581">
        <w:rPr>
          <w:rFonts w:ascii="Arial" w:eastAsia="Times New Roman" w:hAnsi="Arial" w:cs="Arial"/>
        </w:rPr>
        <w:t xml:space="preserve">ysis </w:t>
      </w:r>
      <w:r>
        <w:rPr>
          <w:rFonts w:ascii="Arial" w:eastAsia="Times New Roman" w:hAnsi="Arial" w:cs="Arial"/>
        </w:rPr>
        <w:t xml:space="preserve">buffer </w:t>
      </w:r>
      <w:r w:rsidR="00447581">
        <w:rPr>
          <w:rFonts w:ascii="Arial" w:eastAsia="Times New Roman" w:hAnsi="Arial" w:cs="Arial"/>
        </w:rPr>
        <w:t xml:space="preserve">(50mM Tris-HCl pH8, 250mM NaCl, 2mM EDTA, 1%NP40) </w:t>
      </w:r>
      <w:r>
        <w:rPr>
          <w:rFonts w:ascii="Arial" w:eastAsia="Times New Roman" w:hAnsi="Arial" w:cs="Arial"/>
        </w:rPr>
        <w:t xml:space="preserve">containing protease inhibitors </w:t>
      </w:r>
      <w:r w:rsidR="008D3414">
        <w:rPr>
          <w:rFonts w:ascii="Arial" w:eastAsia="Times New Roman" w:hAnsi="Arial" w:cs="Arial"/>
        </w:rPr>
        <w:t>(Cell Signaling Technologies 5872S</w:t>
      </w:r>
      <w:r>
        <w:rPr>
          <w:rFonts w:ascii="Arial" w:eastAsia="Times New Roman" w:hAnsi="Arial" w:cs="Arial"/>
        </w:rPr>
        <w:t>). Lysates were centrifuged for 5</w:t>
      </w:r>
      <w:r w:rsidR="00CC4F4D">
        <w:rPr>
          <w:rFonts w:ascii="Arial" w:eastAsia="Times New Roman" w:hAnsi="Arial" w:cs="Arial"/>
        </w:rPr>
        <w:t xml:space="preserve"> </w:t>
      </w:r>
      <w:r>
        <w:rPr>
          <w:rFonts w:ascii="Arial" w:eastAsia="Times New Roman" w:hAnsi="Arial" w:cs="Arial"/>
        </w:rPr>
        <w:t>min</w:t>
      </w:r>
      <w:r w:rsidR="00CC4F4D">
        <w:rPr>
          <w:rFonts w:ascii="Arial" w:eastAsia="Times New Roman" w:hAnsi="Arial" w:cs="Arial"/>
        </w:rPr>
        <w:t xml:space="preserve"> (</w:t>
      </w:r>
      <w:r w:rsidR="007D7849">
        <w:rPr>
          <w:rFonts w:ascii="Arial" w:eastAsia="Times New Roman" w:hAnsi="Arial" w:cs="Arial"/>
        </w:rPr>
        <w:t>4</w:t>
      </w:r>
      <w:r w:rsidR="007D7849" w:rsidRPr="00983D31">
        <w:rPr>
          <w:rFonts w:ascii="Arial" w:eastAsia="Times New Roman" w:hAnsi="Arial" w:cs="Arial"/>
          <w:vertAlign w:val="superscript"/>
        </w:rPr>
        <w:t>o</w:t>
      </w:r>
      <w:r w:rsidR="007D7849">
        <w:rPr>
          <w:rFonts w:ascii="Arial" w:eastAsia="Times New Roman" w:hAnsi="Arial" w:cs="Arial"/>
        </w:rPr>
        <w:t>C, 15,000 rpm</w:t>
      </w:r>
      <w:r w:rsidR="00CC4F4D">
        <w:rPr>
          <w:rFonts w:ascii="Arial" w:eastAsia="Times New Roman" w:hAnsi="Arial" w:cs="Arial"/>
        </w:rPr>
        <w:t>),</w:t>
      </w:r>
      <w:r>
        <w:rPr>
          <w:rFonts w:ascii="Arial" w:eastAsia="Times New Roman" w:hAnsi="Arial" w:cs="Arial"/>
        </w:rPr>
        <w:t xml:space="preserve"> and</w:t>
      </w:r>
      <w:r w:rsidR="00CC4F4D">
        <w:rPr>
          <w:rFonts w:ascii="Arial" w:eastAsia="Times New Roman" w:hAnsi="Arial" w:cs="Arial"/>
        </w:rPr>
        <w:t xml:space="preserve"> the</w:t>
      </w:r>
      <w:r>
        <w:rPr>
          <w:rFonts w:ascii="Arial" w:eastAsia="Times New Roman" w:hAnsi="Arial" w:cs="Arial"/>
        </w:rPr>
        <w:t xml:space="preserve"> supernatant</w:t>
      </w:r>
      <w:r w:rsidR="00CC4F4D">
        <w:rPr>
          <w:rFonts w:ascii="Arial" w:eastAsia="Times New Roman" w:hAnsi="Arial" w:cs="Arial"/>
        </w:rPr>
        <w:t>s</w:t>
      </w:r>
      <w:r>
        <w:rPr>
          <w:rFonts w:ascii="Arial" w:eastAsia="Times New Roman" w:hAnsi="Arial" w:cs="Arial"/>
        </w:rPr>
        <w:t xml:space="preserve"> </w:t>
      </w:r>
      <w:r w:rsidR="00CC4F4D">
        <w:rPr>
          <w:rFonts w:ascii="Arial" w:eastAsia="Times New Roman" w:hAnsi="Arial" w:cs="Arial"/>
        </w:rPr>
        <w:t xml:space="preserve">were diluted into </w:t>
      </w:r>
      <w:r w:rsidR="00CC4F4D" w:rsidRPr="00CD762A">
        <w:rPr>
          <w:rFonts w:ascii="Arial" w:eastAsia="Times New Roman" w:hAnsi="Arial" w:cs="Arial"/>
        </w:rPr>
        <w:t>SDS sample buffer</w:t>
      </w:r>
      <w:r w:rsidR="00CC4F4D">
        <w:rPr>
          <w:rFonts w:ascii="Arial" w:eastAsia="Times New Roman" w:hAnsi="Arial" w:cs="Arial"/>
        </w:rPr>
        <w:t xml:space="preserve"> </w:t>
      </w:r>
      <w:r w:rsidR="00447581">
        <w:rPr>
          <w:rFonts w:ascii="Arial" w:eastAsia="Times New Roman" w:hAnsi="Arial" w:cs="Arial"/>
        </w:rPr>
        <w:t xml:space="preserve">(final concentration of 2% SDS, 10% glycerol, 50mM Tris pH 6.8, 0.01% </w:t>
      </w:r>
      <w:proofErr w:type="spellStart"/>
      <w:r w:rsidR="00447581">
        <w:rPr>
          <w:rFonts w:ascii="Arial" w:eastAsia="Times New Roman" w:hAnsi="Arial" w:cs="Arial"/>
        </w:rPr>
        <w:t>Bromphenol</w:t>
      </w:r>
      <w:proofErr w:type="spellEnd"/>
      <w:r w:rsidR="00447581">
        <w:rPr>
          <w:rFonts w:ascii="Arial" w:eastAsia="Times New Roman" w:hAnsi="Arial" w:cs="Arial"/>
        </w:rPr>
        <w:t xml:space="preserve"> blue</w:t>
      </w:r>
      <w:r w:rsidR="00F52463">
        <w:rPr>
          <w:rFonts w:ascii="Arial" w:eastAsia="Times New Roman" w:hAnsi="Arial" w:cs="Arial"/>
        </w:rPr>
        <w:t>, 1% β-</w:t>
      </w:r>
      <w:proofErr w:type="spellStart"/>
      <w:r w:rsidR="00F52463">
        <w:rPr>
          <w:rFonts w:ascii="Arial" w:eastAsia="Times New Roman" w:hAnsi="Arial" w:cs="Arial"/>
        </w:rPr>
        <w:t>mercaptoethanol</w:t>
      </w:r>
      <w:proofErr w:type="spellEnd"/>
      <w:r w:rsidR="00447581">
        <w:rPr>
          <w:rFonts w:ascii="Arial" w:eastAsia="Times New Roman" w:hAnsi="Arial" w:cs="Arial"/>
        </w:rPr>
        <w:t>)</w:t>
      </w:r>
      <w:r w:rsidR="00CD762A">
        <w:rPr>
          <w:rFonts w:ascii="Arial" w:eastAsia="Times New Roman" w:hAnsi="Arial" w:cs="Arial"/>
        </w:rPr>
        <w:t xml:space="preserve"> </w:t>
      </w:r>
      <w:r w:rsidR="00CC4F4D">
        <w:rPr>
          <w:rFonts w:ascii="Arial" w:eastAsia="Times New Roman" w:hAnsi="Arial" w:cs="Arial"/>
        </w:rPr>
        <w:t>and analyzed by</w:t>
      </w:r>
      <w:r>
        <w:rPr>
          <w:rFonts w:ascii="Arial" w:eastAsia="Times New Roman" w:hAnsi="Arial" w:cs="Arial"/>
        </w:rPr>
        <w:t xml:space="preserve"> immunoblotting </w:t>
      </w:r>
      <w:r w:rsidR="00CC4F4D">
        <w:rPr>
          <w:rFonts w:ascii="Arial" w:eastAsia="Times New Roman" w:hAnsi="Arial" w:cs="Arial"/>
        </w:rPr>
        <w:t>after</w:t>
      </w:r>
      <w:r>
        <w:rPr>
          <w:rFonts w:ascii="Arial" w:eastAsia="Times New Roman" w:hAnsi="Arial" w:cs="Arial"/>
        </w:rPr>
        <w:t xml:space="preserve"> SDS-PAGE. Approximately 20-30</w:t>
      </w:r>
      <w:r w:rsidR="00CC4F4D">
        <w:rPr>
          <w:rFonts w:ascii="Arial" w:eastAsia="Times New Roman" w:hAnsi="Arial" w:cs="Arial"/>
        </w:rPr>
        <w:t xml:space="preserve"> </w:t>
      </w:r>
      <w:proofErr w:type="spellStart"/>
      <w:r w:rsidR="007D7849">
        <w:rPr>
          <w:rFonts w:ascii="Arial" w:eastAsia="Times New Roman" w:hAnsi="Arial" w:cs="Arial"/>
        </w:rPr>
        <w:t>μ</w:t>
      </w:r>
      <w:r>
        <w:rPr>
          <w:rFonts w:ascii="Arial" w:eastAsia="Times New Roman" w:hAnsi="Arial" w:cs="Arial"/>
        </w:rPr>
        <w:t>g</w:t>
      </w:r>
      <w:proofErr w:type="spellEnd"/>
      <w:r>
        <w:rPr>
          <w:rFonts w:ascii="Arial" w:eastAsia="Times New Roman" w:hAnsi="Arial" w:cs="Arial"/>
        </w:rPr>
        <w:t xml:space="preserve"> protein was </w:t>
      </w:r>
      <w:r w:rsidR="00CC4F4D">
        <w:rPr>
          <w:rFonts w:ascii="Arial" w:eastAsia="Times New Roman" w:hAnsi="Arial" w:cs="Arial"/>
        </w:rPr>
        <w:t xml:space="preserve">fractionated </w:t>
      </w:r>
      <w:r>
        <w:rPr>
          <w:rFonts w:ascii="Arial" w:eastAsia="Times New Roman" w:hAnsi="Arial" w:cs="Arial"/>
        </w:rPr>
        <w:t xml:space="preserve">per sample on an 8% polyacrylamide gel. </w:t>
      </w:r>
      <w:r w:rsidR="00EF2735">
        <w:rPr>
          <w:rFonts w:ascii="Arial" w:eastAsia="Times New Roman" w:hAnsi="Arial" w:cs="Arial"/>
        </w:rPr>
        <w:t>Lamin A (</w:t>
      </w:r>
      <w:r w:rsidR="00A86AB8">
        <w:rPr>
          <w:rFonts w:ascii="Arial" w:eastAsia="Times New Roman" w:hAnsi="Arial" w:cs="Arial"/>
        </w:rPr>
        <w:t>protein tech 10298</w:t>
      </w:r>
      <w:r w:rsidR="00EF2735">
        <w:rPr>
          <w:rFonts w:ascii="Arial" w:eastAsia="Times New Roman" w:hAnsi="Arial" w:cs="Arial"/>
        </w:rPr>
        <w:t>), and Focal Adhesion Kinase (</w:t>
      </w:r>
      <w:r w:rsidR="00A86AB8">
        <w:rPr>
          <w:rFonts w:ascii="Arial" w:eastAsia="Times New Roman" w:hAnsi="Arial" w:cs="Arial"/>
        </w:rPr>
        <w:t>BD Transduction Labs 610088</w:t>
      </w:r>
      <w:r w:rsidR="00EF2735">
        <w:rPr>
          <w:rFonts w:ascii="Arial" w:eastAsia="Times New Roman" w:hAnsi="Arial" w:cs="Arial"/>
        </w:rPr>
        <w:t>)</w:t>
      </w:r>
      <w:r w:rsidR="001D1E76">
        <w:rPr>
          <w:rFonts w:ascii="Arial" w:eastAsia="Times New Roman" w:hAnsi="Arial" w:cs="Arial"/>
        </w:rPr>
        <w:t xml:space="preserve">, </w:t>
      </w:r>
      <w:r w:rsidR="00CC4F4D">
        <w:rPr>
          <w:rFonts w:ascii="Arial" w:eastAsia="Times New Roman" w:hAnsi="Arial" w:cs="Arial"/>
        </w:rPr>
        <w:t xml:space="preserve">and </w:t>
      </w:r>
      <w:proofErr w:type="spellStart"/>
      <w:r w:rsidR="001D1E76">
        <w:rPr>
          <w:rFonts w:ascii="Arial" w:eastAsia="Times New Roman" w:hAnsi="Arial" w:cs="Arial"/>
        </w:rPr>
        <w:t>Lysyl</w:t>
      </w:r>
      <w:proofErr w:type="spellEnd"/>
      <w:r w:rsidR="001D1E76">
        <w:rPr>
          <w:rFonts w:ascii="Arial" w:eastAsia="Times New Roman" w:hAnsi="Arial" w:cs="Arial"/>
        </w:rPr>
        <w:t xml:space="preserve"> Oxidase (</w:t>
      </w:r>
      <w:proofErr w:type="spellStart"/>
      <w:r w:rsidR="004A4A76">
        <w:rPr>
          <w:rFonts w:ascii="Arial" w:eastAsia="Times New Roman" w:hAnsi="Arial" w:cs="Arial"/>
        </w:rPr>
        <w:t>abcam</w:t>
      </w:r>
      <w:proofErr w:type="spellEnd"/>
      <w:r w:rsidR="004A4A76">
        <w:rPr>
          <w:rFonts w:ascii="Arial" w:eastAsia="Times New Roman" w:hAnsi="Arial" w:cs="Arial"/>
        </w:rPr>
        <w:t xml:space="preserve"> ab31238</w:t>
      </w:r>
      <w:r w:rsidR="001D1E76">
        <w:rPr>
          <w:rFonts w:ascii="Arial" w:eastAsia="Times New Roman" w:hAnsi="Arial" w:cs="Arial"/>
        </w:rPr>
        <w:t>)</w:t>
      </w:r>
      <w:r w:rsidR="00EF2735">
        <w:rPr>
          <w:rFonts w:ascii="Arial" w:eastAsia="Times New Roman" w:hAnsi="Arial" w:cs="Arial"/>
        </w:rPr>
        <w:t xml:space="preserve"> antibodies were used</w:t>
      </w:r>
      <w:r w:rsidR="00A86AB8">
        <w:rPr>
          <w:rFonts w:ascii="Arial" w:eastAsia="Times New Roman" w:hAnsi="Arial" w:cs="Arial"/>
        </w:rPr>
        <w:t xml:space="preserve"> at </w:t>
      </w:r>
      <w:r w:rsidR="00CC4F4D">
        <w:rPr>
          <w:rFonts w:ascii="Arial" w:eastAsia="Times New Roman" w:hAnsi="Arial" w:cs="Arial"/>
        </w:rPr>
        <w:t xml:space="preserve">a </w:t>
      </w:r>
      <w:r w:rsidR="00A86AB8">
        <w:rPr>
          <w:rFonts w:ascii="Arial" w:eastAsia="Times New Roman" w:hAnsi="Arial" w:cs="Arial"/>
        </w:rPr>
        <w:t>1:300 dilution</w:t>
      </w:r>
      <w:r w:rsidR="00EF2735">
        <w:rPr>
          <w:rFonts w:ascii="Arial" w:eastAsia="Times New Roman" w:hAnsi="Arial" w:cs="Arial"/>
        </w:rPr>
        <w:t>.</w:t>
      </w:r>
      <w:r w:rsidR="00510A3B" w:rsidRPr="007634FF">
        <w:rPr>
          <w:rFonts w:ascii="Arial" w:eastAsia="Times New Roman" w:hAnsi="Arial" w:cs="Arial"/>
        </w:rPr>
        <w:t xml:space="preserve"> </w:t>
      </w:r>
    </w:p>
    <w:p w14:paraId="53B5A07A" w14:textId="6C389B27" w:rsidR="00216340" w:rsidRDefault="00216340">
      <w:pPr>
        <w:spacing w:after="0" w:line="480" w:lineRule="auto"/>
        <w:jc w:val="both"/>
        <w:rPr>
          <w:rFonts w:ascii="Arial" w:eastAsia="Times New Roman" w:hAnsi="Arial" w:cs="Arial"/>
        </w:rPr>
      </w:pPr>
    </w:p>
    <w:p w14:paraId="52A5263F" w14:textId="07759963" w:rsidR="001D1E76" w:rsidRDefault="001D1E76">
      <w:pPr>
        <w:spacing w:after="0" w:line="480" w:lineRule="auto"/>
        <w:jc w:val="both"/>
        <w:rPr>
          <w:rFonts w:ascii="Arial" w:eastAsia="Times New Roman" w:hAnsi="Arial" w:cs="Arial"/>
        </w:rPr>
      </w:pPr>
      <w:proofErr w:type="spellStart"/>
      <w:r w:rsidRPr="002B0032">
        <w:rPr>
          <w:rFonts w:ascii="Arial" w:eastAsia="Times New Roman" w:hAnsi="Arial" w:cs="Arial"/>
          <w:i/>
        </w:rPr>
        <w:t>Lysyl</w:t>
      </w:r>
      <w:proofErr w:type="spellEnd"/>
      <w:r w:rsidRPr="002B0032">
        <w:rPr>
          <w:rFonts w:ascii="Arial" w:eastAsia="Times New Roman" w:hAnsi="Arial" w:cs="Arial"/>
          <w:i/>
        </w:rPr>
        <w:t xml:space="preserve"> Oxidase Activity Assay</w:t>
      </w:r>
      <w:r w:rsidR="002B0032">
        <w:rPr>
          <w:rFonts w:ascii="Arial" w:eastAsia="Times New Roman" w:hAnsi="Arial" w:cs="Arial"/>
          <w:i/>
        </w:rPr>
        <w:t>.</w:t>
      </w:r>
      <w:r>
        <w:rPr>
          <w:rFonts w:ascii="Arial" w:eastAsia="Times New Roman" w:hAnsi="Arial" w:cs="Arial"/>
        </w:rPr>
        <w:t xml:space="preserve"> </w:t>
      </w:r>
      <w:r w:rsidR="00B604A9">
        <w:rPr>
          <w:rFonts w:ascii="Arial" w:eastAsia="Times New Roman" w:hAnsi="Arial" w:cs="Arial"/>
        </w:rPr>
        <w:t>Intact d</w:t>
      </w:r>
      <w:r>
        <w:rPr>
          <w:rFonts w:ascii="Arial" w:eastAsia="Times New Roman" w:hAnsi="Arial" w:cs="Arial"/>
        </w:rPr>
        <w:t xml:space="preserve">escending aortas were </w:t>
      </w:r>
      <w:r w:rsidR="00C70862">
        <w:rPr>
          <w:rFonts w:ascii="Arial" w:eastAsia="Times New Roman" w:hAnsi="Arial" w:cs="Arial"/>
        </w:rPr>
        <w:t>isolated, flash frozen</w:t>
      </w:r>
      <w:r w:rsidR="00E6189E">
        <w:rPr>
          <w:rFonts w:ascii="Arial" w:eastAsia="Times New Roman" w:hAnsi="Arial" w:cs="Arial"/>
        </w:rPr>
        <w:t xml:space="preserve"> in liquid nitrogen</w:t>
      </w:r>
      <w:r w:rsidR="00C70862">
        <w:rPr>
          <w:rFonts w:ascii="Arial" w:eastAsia="Times New Roman" w:hAnsi="Arial" w:cs="Arial"/>
        </w:rPr>
        <w:t xml:space="preserve"> and stored </w:t>
      </w:r>
      <w:r>
        <w:rPr>
          <w:rFonts w:ascii="Arial" w:eastAsia="Times New Roman" w:hAnsi="Arial" w:cs="Arial"/>
        </w:rPr>
        <w:t>at -80</w:t>
      </w:r>
      <w:r w:rsidR="00CC4F4D" w:rsidRPr="00E6189E">
        <w:rPr>
          <w:rFonts w:ascii="Arial" w:eastAsia="Times New Roman" w:hAnsi="Arial" w:cs="Arial"/>
          <w:vertAlign w:val="superscript"/>
        </w:rPr>
        <w:t>o</w:t>
      </w:r>
      <w:r>
        <w:rPr>
          <w:rFonts w:ascii="Arial" w:eastAsia="Times New Roman" w:hAnsi="Arial" w:cs="Arial"/>
        </w:rPr>
        <w:t xml:space="preserve">C prior to </w:t>
      </w:r>
      <w:r w:rsidR="00CC4F4D">
        <w:rPr>
          <w:rFonts w:ascii="Arial" w:eastAsia="Times New Roman" w:hAnsi="Arial" w:cs="Arial"/>
        </w:rPr>
        <w:t>the analysis of LOX activity</w:t>
      </w:r>
      <w:r>
        <w:rPr>
          <w:rFonts w:ascii="Arial" w:eastAsia="Times New Roman" w:hAnsi="Arial" w:cs="Arial"/>
        </w:rPr>
        <w:t xml:space="preserve">. </w:t>
      </w:r>
      <w:r w:rsidR="007D7849">
        <w:rPr>
          <w:rFonts w:ascii="Arial" w:eastAsia="Times New Roman" w:hAnsi="Arial" w:cs="Arial"/>
        </w:rPr>
        <w:t>Thawed a</w:t>
      </w:r>
      <w:r>
        <w:rPr>
          <w:rFonts w:ascii="Arial" w:eastAsia="Times New Roman" w:hAnsi="Arial" w:cs="Arial"/>
        </w:rPr>
        <w:t xml:space="preserve">ortas were chopped into small pieces and sonicated in </w:t>
      </w:r>
      <w:r w:rsidR="007D7849">
        <w:rPr>
          <w:rFonts w:ascii="Arial" w:eastAsia="Times New Roman" w:hAnsi="Arial" w:cs="Arial"/>
        </w:rPr>
        <w:t>0.2</w:t>
      </w:r>
      <w:r w:rsidR="00CC4F4D">
        <w:rPr>
          <w:rFonts w:ascii="Arial" w:eastAsia="Times New Roman" w:hAnsi="Arial" w:cs="Arial"/>
        </w:rPr>
        <w:t xml:space="preserve">ml </w:t>
      </w:r>
      <w:r>
        <w:rPr>
          <w:rFonts w:ascii="Arial" w:eastAsia="Times New Roman" w:hAnsi="Arial" w:cs="Arial"/>
        </w:rPr>
        <w:t>PBS three times for 15-20 seconds</w:t>
      </w:r>
      <w:r w:rsidR="00CC4F4D">
        <w:rPr>
          <w:rFonts w:ascii="Arial" w:eastAsia="Times New Roman" w:hAnsi="Arial" w:cs="Arial"/>
        </w:rPr>
        <w:t xml:space="preserve"> each</w:t>
      </w:r>
      <w:r>
        <w:rPr>
          <w:rFonts w:ascii="Arial" w:eastAsia="Times New Roman" w:hAnsi="Arial" w:cs="Arial"/>
        </w:rPr>
        <w:t xml:space="preserve"> and stored immediately on ice.</w:t>
      </w:r>
      <w:r w:rsidR="00CC4F4D">
        <w:rPr>
          <w:rFonts w:ascii="Arial" w:eastAsia="Times New Roman" w:hAnsi="Arial" w:cs="Arial"/>
        </w:rPr>
        <w:t xml:space="preserve">  </w:t>
      </w:r>
      <w:r>
        <w:rPr>
          <w:rFonts w:ascii="Arial" w:eastAsia="Times New Roman" w:hAnsi="Arial" w:cs="Arial"/>
        </w:rPr>
        <w:t>Lysates were centrifuged at 14,000</w:t>
      </w:r>
      <w:r w:rsidR="00CC4F4D">
        <w:rPr>
          <w:rFonts w:ascii="Arial" w:eastAsia="Times New Roman" w:hAnsi="Arial" w:cs="Arial"/>
        </w:rPr>
        <w:t xml:space="preserve"> x </w:t>
      </w:r>
      <w:r w:rsidRPr="00E6189E">
        <w:rPr>
          <w:rFonts w:ascii="Arial" w:eastAsia="Times New Roman" w:hAnsi="Arial" w:cs="Arial"/>
          <w:i/>
        </w:rPr>
        <w:t>g</w:t>
      </w:r>
      <w:r>
        <w:rPr>
          <w:rFonts w:ascii="Arial" w:eastAsia="Times New Roman" w:hAnsi="Arial" w:cs="Arial"/>
        </w:rPr>
        <w:t xml:space="preserve"> for 5</w:t>
      </w:r>
      <w:r w:rsidR="00CC4F4D">
        <w:rPr>
          <w:rFonts w:ascii="Arial" w:eastAsia="Times New Roman" w:hAnsi="Arial" w:cs="Arial"/>
        </w:rPr>
        <w:t xml:space="preserve"> </w:t>
      </w:r>
      <w:r>
        <w:rPr>
          <w:rFonts w:ascii="Arial" w:eastAsia="Times New Roman" w:hAnsi="Arial" w:cs="Arial"/>
        </w:rPr>
        <w:t>min</w:t>
      </w:r>
      <w:r w:rsidR="00CC4F4D">
        <w:rPr>
          <w:rFonts w:ascii="Arial" w:eastAsia="Times New Roman" w:hAnsi="Arial" w:cs="Arial"/>
        </w:rPr>
        <w:t>,</w:t>
      </w:r>
      <w:r>
        <w:rPr>
          <w:rFonts w:ascii="Arial" w:eastAsia="Times New Roman" w:hAnsi="Arial" w:cs="Arial"/>
        </w:rPr>
        <w:t xml:space="preserve"> and </w:t>
      </w:r>
      <w:r w:rsidR="007D7849">
        <w:rPr>
          <w:rFonts w:ascii="Arial" w:eastAsia="Times New Roman" w:hAnsi="Arial" w:cs="Arial"/>
        </w:rPr>
        <w:t xml:space="preserve">50 </w:t>
      </w:r>
      <w:proofErr w:type="spellStart"/>
      <w:r w:rsidR="007D7849">
        <w:rPr>
          <w:rFonts w:ascii="Arial" w:eastAsia="Times New Roman" w:hAnsi="Arial" w:cs="Arial"/>
        </w:rPr>
        <w:t>μl</w:t>
      </w:r>
      <w:proofErr w:type="spellEnd"/>
      <w:r w:rsidR="007D7849">
        <w:rPr>
          <w:rFonts w:ascii="Arial" w:eastAsia="Times New Roman" w:hAnsi="Arial" w:cs="Arial"/>
        </w:rPr>
        <w:t xml:space="preserve"> of </w:t>
      </w:r>
      <w:r w:rsidR="00E6189E">
        <w:rPr>
          <w:rFonts w:ascii="Arial" w:eastAsia="Times New Roman" w:hAnsi="Arial" w:cs="Arial"/>
        </w:rPr>
        <w:t xml:space="preserve">each </w:t>
      </w:r>
      <w:r>
        <w:rPr>
          <w:rFonts w:ascii="Arial" w:eastAsia="Times New Roman" w:hAnsi="Arial" w:cs="Arial"/>
        </w:rPr>
        <w:t xml:space="preserve">supernatant </w:t>
      </w:r>
      <w:r w:rsidR="00E6189E">
        <w:rPr>
          <w:rFonts w:ascii="Arial" w:eastAsia="Times New Roman" w:hAnsi="Arial" w:cs="Arial"/>
        </w:rPr>
        <w:t xml:space="preserve">was </w:t>
      </w:r>
      <w:r w:rsidR="00CC4F4D">
        <w:rPr>
          <w:rFonts w:ascii="Arial" w:eastAsia="Times New Roman" w:hAnsi="Arial" w:cs="Arial"/>
        </w:rPr>
        <w:t xml:space="preserve">analyzed using the </w:t>
      </w:r>
      <w:r w:rsidR="004A4A76">
        <w:rPr>
          <w:rFonts w:ascii="Arial" w:eastAsia="Times New Roman" w:hAnsi="Arial" w:cs="Arial"/>
        </w:rPr>
        <w:t xml:space="preserve">Abcam </w:t>
      </w:r>
      <w:proofErr w:type="spellStart"/>
      <w:r w:rsidR="004A4A76">
        <w:rPr>
          <w:rFonts w:ascii="Arial" w:eastAsia="Times New Roman" w:hAnsi="Arial" w:cs="Arial"/>
        </w:rPr>
        <w:t>Lysyl</w:t>
      </w:r>
      <w:proofErr w:type="spellEnd"/>
      <w:r w:rsidR="004A4A76">
        <w:rPr>
          <w:rFonts w:ascii="Arial" w:eastAsia="Times New Roman" w:hAnsi="Arial" w:cs="Arial"/>
        </w:rPr>
        <w:t xml:space="preserve"> oxidase activity assay kit (ab112139)</w:t>
      </w:r>
      <w:r>
        <w:rPr>
          <w:rFonts w:ascii="Arial" w:eastAsia="Times New Roman" w:hAnsi="Arial" w:cs="Arial"/>
        </w:rPr>
        <w:t xml:space="preserve"> according to manufacturer’s instructions. </w:t>
      </w:r>
      <w:r w:rsidR="00E6189E">
        <w:rPr>
          <w:rFonts w:ascii="Arial" w:eastAsia="Times New Roman" w:hAnsi="Arial" w:cs="Arial"/>
        </w:rPr>
        <w:t xml:space="preserve">Samples were run in technical duplicates. </w:t>
      </w:r>
      <w:r w:rsidR="00CC4F4D">
        <w:rPr>
          <w:rFonts w:ascii="Arial" w:eastAsia="Times New Roman" w:hAnsi="Arial" w:cs="Arial"/>
        </w:rPr>
        <w:t>R</w:t>
      </w:r>
      <w:r>
        <w:rPr>
          <w:rFonts w:ascii="Arial" w:eastAsia="Times New Roman" w:hAnsi="Arial" w:cs="Arial"/>
        </w:rPr>
        <w:t xml:space="preserve">elative fluorescent intensity values were normalized to </w:t>
      </w:r>
      <w:r w:rsidR="00CC4F4D">
        <w:rPr>
          <w:rFonts w:ascii="Arial" w:eastAsia="Times New Roman" w:hAnsi="Arial" w:cs="Arial"/>
        </w:rPr>
        <w:t xml:space="preserve">the total protein concentration of each lysate as determined using </w:t>
      </w:r>
      <w:proofErr w:type="spellStart"/>
      <w:r w:rsidR="00CC4F4D">
        <w:rPr>
          <w:rFonts w:ascii="Arial" w:eastAsia="Times New Roman" w:hAnsi="Arial" w:cs="Arial"/>
        </w:rPr>
        <w:t>BioRad</w:t>
      </w:r>
      <w:proofErr w:type="spellEnd"/>
      <w:r w:rsidR="00CC4F4D">
        <w:rPr>
          <w:rFonts w:ascii="Arial" w:eastAsia="Times New Roman" w:hAnsi="Arial" w:cs="Arial"/>
        </w:rPr>
        <w:t xml:space="preserve"> protein concentration reagent (</w:t>
      </w:r>
      <w:proofErr w:type="spellStart"/>
      <w:r w:rsidR="00CC4F4D">
        <w:rPr>
          <w:rFonts w:ascii="Arial" w:eastAsia="Times New Roman" w:hAnsi="Arial" w:cs="Arial"/>
        </w:rPr>
        <w:t>Biorad</w:t>
      </w:r>
      <w:proofErr w:type="spellEnd"/>
      <w:r w:rsidR="00CC4F4D">
        <w:rPr>
          <w:rFonts w:ascii="Arial" w:eastAsia="Times New Roman" w:hAnsi="Arial" w:cs="Arial"/>
        </w:rPr>
        <w:t xml:space="preserve"> 5000006).</w:t>
      </w:r>
    </w:p>
    <w:p w14:paraId="69775BCF" w14:textId="77777777" w:rsidR="00CC4F4D" w:rsidRDefault="00CC4F4D">
      <w:pPr>
        <w:spacing w:after="0" w:line="480" w:lineRule="auto"/>
        <w:jc w:val="both"/>
        <w:outlineLvl w:val="0"/>
        <w:rPr>
          <w:rFonts w:ascii="Arial" w:eastAsia="Times New Roman" w:hAnsi="Arial" w:cs="Arial"/>
          <w:i/>
          <w:iCs/>
        </w:rPr>
      </w:pPr>
    </w:p>
    <w:p w14:paraId="6DDCEF53" w14:textId="5EBA91A1" w:rsidR="00CC4F4D" w:rsidRPr="00380867" w:rsidRDefault="00CC4F4D">
      <w:pPr>
        <w:spacing w:after="0" w:line="480" w:lineRule="auto"/>
        <w:jc w:val="both"/>
        <w:outlineLvl w:val="0"/>
        <w:rPr>
          <w:rFonts w:ascii="Arial" w:eastAsia="Times New Roman" w:hAnsi="Arial" w:cs="Arial"/>
        </w:rPr>
      </w:pPr>
      <w:r w:rsidRPr="00380867">
        <w:rPr>
          <w:rFonts w:ascii="Arial" w:eastAsia="Times New Roman" w:hAnsi="Arial" w:cs="Arial"/>
          <w:i/>
          <w:iCs/>
        </w:rPr>
        <w:t xml:space="preserve">Myograph </w:t>
      </w:r>
      <w:r>
        <w:rPr>
          <w:rFonts w:ascii="Arial" w:eastAsia="Times New Roman" w:hAnsi="Arial" w:cs="Arial"/>
          <w:i/>
          <w:iCs/>
        </w:rPr>
        <w:t>d</w:t>
      </w:r>
      <w:r w:rsidRPr="00380867">
        <w:rPr>
          <w:rFonts w:ascii="Arial" w:eastAsia="Times New Roman" w:hAnsi="Arial" w:cs="Arial"/>
          <w:i/>
          <w:iCs/>
        </w:rPr>
        <w:t>ata analysis.</w:t>
      </w:r>
      <w:r w:rsidRPr="00380867">
        <w:rPr>
          <w:rFonts w:ascii="Arial" w:eastAsia="Times New Roman" w:hAnsi="Arial" w:cs="Arial"/>
          <w:b/>
        </w:rPr>
        <w:t xml:space="preserve"> </w:t>
      </w:r>
      <w:r w:rsidRPr="00380867">
        <w:rPr>
          <w:rFonts w:ascii="Arial" w:eastAsia="Times New Roman" w:hAnsi="Arial" w:cs="Arial"/>
        </w:rPr>
        <w:t>Measurements of intraluminal pressure, force, and outer diameter were converted into stress-stretch curves using equations 1</w:t>
      </w:r>
      <w:r w:rsidRPr="00380867">
        <w:rPr>
          <w:rFonts w:ascii="Arial" w:hAnsi="Arial" w:cs="Arial"/>
          <w:shd w:val="clear" w:color="auto" w:fill="FFFFFF"/>
        </w:rPr>
        <w:t>–</w:t>
      </w:r>
      <w:r w:rsidRPr="00380867">
        <w:rPr>
          <w:rFonts w:ascii="Arial" w:eastAsia="Times New Roman" w:hAnsi="Arial" w:cs="Arial"/>
        </w:rPr>
        <w:t xml:space="preserve">4 where </w:t>
      </w:r>
      <w:r w:rsidRPr="00380867">
        <w:rPr>
          <w:rFonts w:ascii="Arial" w:eastAsia="Times New Roman" w:hAnsi="Arial" w:cs="Arial"/>
          <w:i/>
        </w:rPr>
        <w:t>l</w:t>
      </w:r>
      <w:r w:rsidRPr="00380867">
        <w:rPr>
          <w:rFonts w:ascii="Arial" w:eastAsia="Times New Roman" w:hAnsi="Arial" w:cs="Arial"/>
        </w:rPr>
        <w:t xml:space="preserve"> and </w:t>
      </w:r>
      <w:r w:rsidRPr="00380867">
        <w:rPr>
          <w:rFonts w:ascii="Arial" w:eastAsia="Times New Roman" w:hAnsi="Arial" w:cs="Arial"/>
          <w:i/>
        </w:rPr>
        <w:t>L</w:t>
      </w:r>
      <w:r w:rsidRPr="00380867">
        <w:rPr>
          <w:rFonts w:ascii="Arial" w:eastAsia="Times New Roman" w:hAnsi="Arial" w:cs="Arial"/>
        </w:rPr>
        <w:t xml:space="preserve">=loaded and unloaded vessel lengths, respectively (µm), </w:t>
      </w:r>
      <w:r w:rsidRPr="00380867">
        <w:rPr>
          <w:rFonts w:ascii="Arial" w:eastAsia="Times New Roman" w:hAnsi="Arial" w:cs="Arial"/>
          <w:i/>
        </w:rPr>
        <w:t>a</w:t>
      </w:r>
      <w:r w:rsidRPr="00380867">
        <w:rPr>
          <w:rFonts w:ascii="Arial" w:eastAsia="Times New Roman" w:hAnsi="Arial" w:cs="Arial"/>
          <w:i/>
          <w:vertAlign w:val="subscript"/>
        </w:rPr>
        <w:t>i</w:t>
      </w:r>
      <w:r w:rsidRPr="00380867">
        <w:rPr>
          <w:rFonts w:ascii="Arial" w:eastAsia="Times New Roman" w:hAnsi="Arial" w:cs="Arial"/>
        </w:rPr>
        <w:t xml:space="preserve"> and </w:t>
      </w:r>
      <w:r w:rsidRPr="00380867">
        <w:rPr>
          <w:rFonts w:ascii="Arial" w:eastAsia="Times New Roman" w:hAnsi="Arial" w:cs="Arial"/>
          <w:i/>
        </w:rPr>
        <w:t>A</w:t>
      </w:r>
      <w:r w:rsidRPr="00380867">
        <w:rPr>
          <w:rFonts w:ascii="Arial" w:eastAsia="Times New Roman" w:hAnsi="Arial" w:cs="Arial"/>
          <w:i/>
          <w:vertAlign w:val="subscript"/>
        </w:rPr>
        <w:t>i</w:t>
      </w:r>
      <w:r w:rsidRPr="00380867">
        <w:rPr>
          <w:rFonts w:ascii="Arial" w:eastAsia="Times New Roman" w:hAnsi="Arial" w:cs="Arial"/>
        </w:rPr>
        <w:t xml:space="preserve">=loaded and unloaded inner radii, respectively (µm), </w:t>
      </w:r>
      <w:proofErr w:type="spellStart"/>
      <w:r w:rsidRPr="00380867">
        <w:rPr>
          <w:rFonts w:ascii="Arial" w:eastAsia="Times New Roman" w:hAnsi="Arial" w:cs="Arial"/>
          <w:i/>
        </w:rPr>
        <w:t>a</w:t>
      </w:r>
      <w:r w:rsidRPr="00380867">
        <w:rPr>
          <w:rFonts w:ascii="Arial" w:eastAsia="Times New Roman" w:hAnsi="Arial" w:cs="Arial"/>
          <w:i/>
          <w:vertAlign w:val="subscript"/>
        </w:rPr>
        <w:t>o</w:t>
      </w:r>
      <w:proofErr w:type="spellEnd"/>
      <w:r w:rsidRPr="00380867">
        <w:rPr>
          <w:rFonts w:ascii="Arial" w:eastAsia="Times New Roman" w:hAnsi="Arial" w:cs="Arial"/>
        </w:rPr>
        <w:t xml:space="preserve"> and </w:t>
      </w:r>
      <w:proofErr w:type="spellStart"/>
      <w:r w:rsidRPr="00380867">
        <w:rPr>
          <w:rFonts w:ascii="Arial" w:eastAsia="Times New Roman" w:hAnsi="Arial" w:cs="Arial"/>
          <w:i/>
        </w:rPr>
        <w:t>A</w:t>
      </w:r>
      <w:r w:rsidRPr="00380867">
        <w:rPr>
          <w:rFonts w:ascii="Arial" w:eastAsia="Times New Roman" w:hAnsi="Arial" w:cs="Arial"/>
          <w:i/>
          <w:vertAlign w:val="subscript"/>
        </w:rPr>
        <w:t>o</w:t>
      </w:r>
      <w:proofErr w:type="spellEnd"/>
      <w:r w:rsidRPr="00380867">
        <w:rPr>
          <w:rFonts w:ascii="Arial" w:eastAsia="Times New Roman" w:hAnsi="Arial" w:cs="Arial"/>
        </w:rPr>
        <w:t xml:space="preserve">=loaded and unloaded outer radii, respectively (µm), </w:t>
      </w:r>
      <w:r w:rsidRPr="00380867">
        <w:rPr>
          <w:rFonts w:ascii="Arial" w:eastAsia="Times New Roman" w:hAnsi="Arial" w:cs="Arial"/>
          <w:i/>
        </w:rPr>
        <w:t>h</w:t>
      </w:r>
      <w:r w:rsidRPr="00380867">
        <w:rPr>
          <w:rFonts w:ascii="Arial" w:eastAsia="Times New Roman" w:hAnsi="Arial" w:cs="Arial"/>
        </w:rPr>
        <w:t xml:space="preserve"> and </w:t>
      </w:r>
      <w:r w:rsidRPr="00380867">
        <w:rPr>
          <w:rFonts w:ascii="Arial" w:eastAsia="Times New Roman" w:hAnsi="Arial" w:cs="Arial"/>
          <w:i/>
        </w:rPr>
        <w:t>H</w:t>
      </w:r>
      <w:r w:rsidRPr="00380867">
        <w:rPr>
          <w:rFonts w:ascii="Arial" w:eastAsia="Times New Roman" w:hAnsi="Arial" w:cs="Arial"/>
        </w:rPr>
        <w:t xml:space="preserve"> = loaded and unloaded vessel wall thickness, respectively (µm), </w:t>
      </w:r>
      <w:r w:rsidRPr="00380867">
        <w:rPr>
          <w:rFonts w:ascii="Arial" w:eastAsia="Times New Roman" w:hAnsi="Arial" w:cs="Arial"/>
          <w:i/>
        </w:rPr>
        <w:t>P</w:t>
      </w:r>
      <w:r w:rsidRPr="00380867">
        <w:rPr>
          <w:rFonts w:ascii="Arial" w:eastAsia="Times New Roman" w:hAnsi="Arial" w:cs="Arial"/>
        </w:rPr>
        <w:t xml:space="preserve">= intraluminal pressure (mm Hg), </w:t>
      </w:r>
      <w:r w:rsidRPr="00510A3B">
        <w:rPr>
          <w:rFonts w:ascii="Arial" w:eastAsia="Times New Roman" w:hAnsi="Arial" w:cs="Arial"/>
        </w:rPr>
        <w:t xml:space="preserve">and </w:t>
      </w:r>
      <w:proofErr w:type="spellStart"/>
      <w:r w:rsidRPr="00510A3B">
        <w:rPr>
          <w:rFonts w:ascii="Arial" w:eastAsia="Times New Roman" w:hAnsi="Arial" w:cs="Arial"/>
          <w:i/>
        </w:rPr>
        <w:t>f</w:t>
      </w:r>
      <w:r w:rsidRPr="00510A3B">
        <w:rPr>
          <w:rFonts w:ascii="Arial" w:eastAsia="Times New Roman" w:hAnsi="Arial" w:cs="Arial"/>
          <w:i/>
          <w:vertAlign w:val="subscript"/>
        </w:rPr>
        <w:t>T</w:t>
      </w:r>
      <w:proofErr w:type="spellEnd"/>
      <w:r w:rsidRPr="00510A3B">
        <w:rPr>
          <w:rFonts w:ascii="Arial" w:eastAsia="Times New Roman" w:hAnsi="Arial" w:cs="Arial"/>
        </w:rPr>
        <w:t>=axial force (</w:t>
      </w:r>
      <w:proofErr w:type="spellStart"/>
      <w:r w:rsidRPr="00510A3B">
        <w:rPr>
          <w:rFonts w:ascii="Arial" w:eastAsia="Times New Roman" w:hAnsi="Arial" w:cs="Arial"/>
        </w:rPr>
        <w:t>nN</w:t>
      </w:r>
      <w:proofErr w:type="spellEnd"/>
      <w:r w:rsidRPr="00510A3B">
        <w:rPr>
          <w:rFonts w:ascii="Arial" w:eastAsia="Times New Roman" w:hAnsi="Arial" w:cs="Arial"/>
        </w:rPr>
        <w:t>). Vessel wall thickness was calculated in the post-test analysis as described</w:t>
      </w:r>
      <w:r>
        <w:rPr>
          <w:rFonts w:ascii="Arial" w:eastAsia="Times New Roman" w:hAnsi="Arial" w:cs="Arial"/>
        </w:rPr>
        <w:t xml:space="preserve"> (15)</w:t>
      </w:r>
      <w:r w:rsidRPr="00510A3B">
        <w:rPr>
          <w:rFonts w:ascii="Arial" w:eastAsia="Times New Roman" w:hAnsi="Arial" w:cs="Arial"/>
        </w:rPr>
        <w:t xml:space="preserve"> with the standard assumption that the sample was incompressible.</w:t>
      </w:r>
      <w:r w:rsidRPr="00380867">
        <w:rPr>
          <w:rFonts w:ascii="Arial" w:eastAsia="Times New Roman" w:hAnsi="Arial" w:cs="Arial"/>
        </w:rPr>
        <w:t xml:space="preserve"> </w:t>
      </w:r>
    </w:p>
    <w:p w14:paraId="4FD63412" w14:textId="77777777" w:rsidR="00CC4F4D" w:rsidRPr="00380867" w:rsidRDefault="00CC4F4D">
      <w:pPr>
        <w:spacing w:after="0" w:line="480" w:lineRule="auto"/>
        <w:jc w:val="both"/>
        <w:rPr>
          <w:rFonts w:ascii="Arial" w:eastAsia="Times New Roman" w:hAnsi="Arial" w:cs="Arial"/>
        </w:rPr>
      </w:pPr>
      <w:r w:rsidRPr="00380867">
        <w:rPr>
          <w:rFonts w:ascii="Arial" w:eastAsia="Times New Roman" w:hAnsi="Arial" w:cs="Arial"/>
        </w:rPr>
        <w:tab/>
        <w:t xml:space="preserve">Equation 1: Axial stretch </w:t>
      </w:r>
      <m:oMath>
        <m:r>
          <w:rPr>
            <w:rFonts w:ascii="Cambria Math" w:eastAsia="Times New Roman" w:hAnsi="Cambria Math" w:cs="Arial"/>
          </w:rPr>
          <m:t>(</m:t>
        </m:r>
        <m:sSub>
          <m:sSubPr>
            <m:ctrlPr>
              <w:rPr>
                <w:rFonts w:ascii="Cambria Math" w:eastAsia="Times New Roman" w:hAnsi="Cambria Math"/>
                <w:i/>
              </w:rPr>
            </m:ctrlPr>
          </m:sSubPr>
          <m:e>
            <m:r>
              <m:rPr>
                <m:nor/>
              </m:rPr>
              <w:rPr>
                <w:i/>
              </w:rPr>
              <m:t>λ</m:t>
            </m:r>
          </m:e>
          <m:sub>
            <m:r>
              <m:rPr>
                <m:nor/>
              </m:rPr>
              <w:rPr>
                <w:rFonts w:eastAsia="Times New Roman"/>
                <w:i/>
              </w:rPr>
              <m:t>z</m:t>
            </m:r>
          </m:sub>
        </m:sSub>
        <m:r>
          <m:rPr>
            <m:nor/>
          </m:rPr>
          <w:rPr>
            <w:rFonts w:ascii="Cambria Math" w:eastAsia="Times New Roman"/>
            <w:i/>
          </w:rPr>
          <m:t>)=</m:t>
        </m:r>
        <m:f>
          <m:fPr>
            <m:ctrlPr>
              <w:rPr>
                <w:rFonts w:ascii="Cambria Math" w:eastAsia="Times New Roman" w:hAnsi="Cambria Math"/>
                <w:i/>
              </w:rPr>
            </m:ctrlPr>
          </m:fPr>
          <m:num>
            <m:r>
              <m:rPr>
                <m:nor/>
              </m:rPr>
              <w:rPr>
                <w:rFonts w:eastAsia="Times New Roman"/>
                <w:i/>
              </w:rPr>
              <m:t>l</m:t>
            </m:r>
          </m:num>
          <m:den>
            <m:r>
              <m:rPr>
                <m:nor/>
              </m:rPr>
              <w:rPr>
                <w:rFonts w:eastAsia="Times New Roman"/>
                <w:i/>
              </w:rPr>
              <m:t>L</m:t>
            </m:r>
          </m:den>
        </m:f>
      </m:oMath>
      <w:r w:rsidRPr="00380867">
        <w:rPr>
          <w:rFonts w:ascii="Arial" w:eastAsia="Times New Roman" w:hAnsi="Arial" w:cs="Arial"/>
        </w:rPr>
        <w:t xml:space="preserve"> </w:t>
      </w:r>
    </w:p>
    <w:p w14:paraId="67986630" w14:textId="77777777" w:rsidR="00CC4F4D" w:rsidRPr="00380867" w:rsidRDefault="00CC4F4D">
      <w:pPr>
        <w:spacing w:after="0" w:line="480" w:lineRule="auto"/>
        <w:jc w:val="both"/>
        <w:rPr>
          <w:rFonts w:ascii="Arial" w:eastAsia="Times New Roman" w:hAnsi="Arial" w:cs="Arial"/>
        </w:rPr>
      </w:pPr>
      <w:r w:rsidRPr="00380867">
        <w:rPr>
          <w:rFonts w:ascii="Arial" w:eastAsia="Times New Roman" w:hAnsi="Arial" w:cs="Arial"/>
        </w:rPr>
        <w:tab/>
        <w:t xml:space="preserve">Equation 2: Axial stress </w:t>
      </w:r>
      <m:oMath>
        <m:r>
          <w:rPr>
            <w:rFonts w:ascii="Cambria Math" w:eastAsia="Times New Roman" w:hAnsi="Cambria Math" w:cs="Arial"/>
          </w:rPr>
          <m:t>(</m:t>
        </m:r>
        <m:sSub>
          <m:sSubPr>
            <m:ctrlPr>
              <w:rPr>
                <w:rFonts w:ascii="Cambria Math" w:eastAsia="Times New Roman" w:hAnsi="Cambria Math"/>
                <w:i/>
              </w:rPr>
            </m:ctrlPr>
          </m:sSubPr>
          <m:e>
            <m:r>
              <m:rPr>
                <m:nor/>
              </m:rPr>
              <w:rPr>
                <w:i/>
              </w:rPr>
              <m:t>σ</m:t>
            </m:r>
          </m:e>
          <m:sub>
            <m:r>
              <m:rPr>
                <m:nor/>
              </m:rPr>
              <w:rPr>
                <w:rFonts w:eastAsia="Times New Roman"/>
                <w:i/>
              </w:rPr>
              <m:t>z</m:t>
            </m:r>
          </m:sub>
        </m:sSub>
        <m:r>
          <m:rPr>
            <m:nor/>
          </m:rPr>
          <w:rPr>
            <w:rFonts w:ascii="Cambria Math" w:eastAsia="Times New Roman"/>
            <w:i/>
          </w:rPr>
          <m:t>)=</m:t>
        </m:r>
        <m:r>
          <m:rPr>
            <m:nor/>
          </m:rPr>
          <w:rPr>
            <w:rFonts w:eastAsia="Times New Roman"/>
            <w:i/>
          </w:rPr>
          <m:t xml:space="preserve"> </m:t>
        </m:r>
        <m:f>
          <m:fPr>
            <m:ctrlPr>
              <w:rPr>
                <w:rFonts w:ascii="Cambria Math" w:eastAsia="Times New Roman" w:hAnsi="Cambria Math"/>
                <w:i/>
              </w:rPr>
            </m:ctrlPr>
          </m:fPr>
          <m:num>
            <m:r>
              <m:rPr>
                <m:nor/>
              </m:rPr>
              <w:rPr>
                <w:rFonts w:eastAsia="Times New Roman"/>
                <w:i/>
              </w:rPr>
              <m:t>P</m:t>
            </m:r>
            <m:sSup>
              <m:sSupPr>
                <m:ctrlPr>
                  <w:rPr>
                    <w:rFonts w:ascii="Cambria Math" w:eastAsia="Times New Roman" w:hAnsi="Cambria Math"/>
                    <w:i/>
                  </w:rPr>
                </m:ctrlPr>
              </m:sSupPr>
              <m:e>
                <m:r>
                  <m:rPr>
                    <m:nor/>
                  </m:rPr>
                  <w:rPr>
                    <w:rFonts w:eastAsia="Times New Roman"/>
                    <w:i/>
                  </w:rPr>
                  <m:t>a</m:t>
                </m:r>
              </m:e>
              <m:sup>
                <m:r>
                  <m:rPr>
                    <m:nor/>
                  </m:rPr>
                  <w:rPr>
                    <w:rFonts w:eastAsia="Times New Roman"/>
                    <w:i/>
                  </w:rPr>
                  <m:t>2</m:t>
                </m:r>
              </m:sup>
            </m:sSup>
            <m:r>
              <m:rPr>
                <m:nor/>
              </m:rPr>
              <w:rPr>
                <w:rFonts w:eastAsia="Times New Roman"/>
                <w:i/>
              </w:rPr>
              <m:t xml:space="preserve">π + </m:t>
            </m:r>
            <m:sSub>
              <m:sSubPr>
                <m:ctrlPr>
                  <w:rPr>
                    <w:rFonts w:ascii="Cambria Math" w:eastAsia="Times New Roman" w:hAnsi="Cambria Math"/>
                    <w:i/>
                  </w:rPr>
                </m:ctrlPr>
              </m:sSubPr>
              <m:e>
                <m:r>
                  <m:rPr>
                    <m:nor/>
                  </m:rPr>
                  <w:rPr>
                    <w:rFonts w:eastAsia="Times New Roman"/>
                    <w:i/>
                  </w:rPr>
                  <m:t>f</m:t>
                </m:r>
              </m:e>
              <m:sub>
                <m:r>
                  <m:rPr>
                    <m:nor/>
                  </m:rPr>
                  <w:rPr>
                    <w:rFonts w:eastAsia="Times New Roman"/>
                    <w:i/>
                  </w:rPr>
                  <m:t>T</m:t>
                </m:r>
              </m:sub>
            </m:sSub>
          </m:num>
          <m:den>
            <m:r>
              <m:rPr>
                <m:nor/>
              </m:rPr>
              <w:rPr>
                <w:rFonts w:eastAsia="Times New Roman"/>
                <w:i/>
              </w:rPr>
              <m:t>πh(2a + h)</m:t>
            </m:r>
          </m:den>
        </m:f>
      </m:oMath>
      <w:r w:rsidRPr="00380867">
        <w:rPr>
          <w:rFonts w:ascii="Arial" w:eastAsia="Times New Roman" w:hAnsi="Arial" w:cs="Arial"/>
        </w:rPr>
        <w:t xml:space="preserve"> </w:t>
      </w:r>
    </w:p>
    <w:p w14:paraId="5C951C7F" w14:textId="77777777" w:rsidR="00CC4F4D" w:rsidRPr="00380867" w:rsidRDefault="00CC4F4D">
      <w:pPr>
        <w:spacing w:after="0" w:line="480" w:lineRule="auto"/>
        <w:jc w:val="both"/>
        <w:rPr>
          <w:rFonts w:ascii="Arial" w:eastAsia="Times New Roman" w:hAnsi="Arial" w:cs="Arial"/>
        </w:rPr>
      </w:pPr>
      <w:r w:rsidRPr="00380867">
        <w:rPr>
          <w:rFonts w:ascii="Arial" w:eastAsia="Times New Roman" w:hAnsi="Arial" w:cs="Arial"/>
        </w:rPr>
        <w:tab/>
        <w:t xml:space="preserve">Equation 3: Circumferential stretch </w:t>
      </w:r>
      <m:oMath>
        <m:r>
          <w:rPr>
            <w:rFonts w:ascii="Cambria Math" w:eastAsia="Times New Roman" w:hAnsi="Cambria Math" w:cs="Arial"/>
          </w:rPr>
          <m:t>(</m:t>
        </m:r>
        <m:sSub>
          <m:sSubPr>
            <m:ctrlPr>
              <w:rPr>
                <w:rFonts w:ascii="Cambria Math" w:hAnsi="Cambria Math"/>
                <w:i/>
              </w:rPr>
            </m:ctrlPr>
          </m:sSubPr>
          <m:e>
            <m:r>
              <m:rPr>
                <m:nor/>
              </m:rPr>
              <w:rPr>
                <w:i/>
              </w:rPr>
              <m:t>λ</m:t>
            </m:r>
          </m:e>
          <m:sub>
            <m:r>
              <m:rPr>
                <m:nor/>
              </m:rPr>
              <w:rPr>
                <w:i/>
              </w:rPr>
              <m:t>θ</m:t>
            </m:r>
          </m:sub>
        </m:sSub>
        <m:r>
          <m:rPr>
            <m:nor/>
          </m:rPr>
          <w:rPr>
            <w:rFonts w:ascii="Cambria Math" w:eastAsia="Times New Roman"/>
            <w:i/>
          </w:rPr>
          <m:t>)=</m:t>
        </m:r>
        <m:f>
          <m:fPr>
            <m:ctrlPr>
              <w:rPr>
                <w:rFonts w:ascii="Cambria Math" w:eastAsia="Times New Roman" w:hAnsi="Cambria Math"/>
                <w:i/>
              </w:rPr>
            </m:ctrlPr>
          </m:fPr>
          <m:num>
            <m:r>
              <m:rPr>
                <m:nor/>
              </m:rPr>
              <w:rPr>
                <w:rFonts w:eastAsia="Times New Roman"/>
                <w:i/>
              </w:rPr>
              <m:t>a + h/2</m:t>
            </m:r>
          </m:num>
          <m:den>
            <m:r>
              <m:rPr>
                <m:nor/>
              </m:rPr>
              <w:rPr>
                <w:rFonts w:eastAsia="Times New Roman"/>
                <w:i/>
              </w:rPr>
              <m:t>A + H/2</m:t>
            </m:r>
          </m:den>
        </m:f>
      </m:oMath>
      <w:r w:rsidRPr="00380867">
        <w:rPr>
          <w:rFonts w:ascii="Arial" w:eastAsia="Times New Roman" w:hAnsi="Arial" w:cs="Arial"/>
        </w:rPr>
        <w:t xml:space="preserve"> </w:t>
      </w:r>
    </w:p>
    <w:p w14:paraId="5F7324E7" w14:textId="77777777" w:rsidR="00CC4F4D" w:rsidRPr="00380867" w:rsidRDefault="00CC4F4D">
      <w:pPr>
        <w:spacing w:after="0" w:line="480" w:lineRule="auto"/>
        <w:jc w:val="both"/>
        <w:rPr>
          <w:rFonts w:ascii="Arial" w:eastAsia="Times New Roman" w:hAnsi="Arial" w:cs="Arial"/>
        </w:rPr>
      </w:pPr>
      <w:r w:rsidRPr="00380867">
        <w:rPr>
          <w:rFonts w:ascii="Arial" w:eastAsia="Times New Roman" w:hAnsi="Arial" w:cs="Arial"/>
        </w:rPr>
        <w:tab/>
        <w:t xml:space="preserve">Equation 4: Circumferential stress </w:t>
      </w:r>
      <m:oMath>
        <m:r>
          <w:rPr>
            <w:rFonts w:ascii="Cambria Math" w:eastAsia="Times New Roman" w:hAnsi="Cambria Math" w:cs="Arial"/>
          </w:rPr>
          <m:t>(</m:t>
        </m:r>
        <m:sSub>
          <m:sSubPr>
            <m:ctrlPr>
              <w:rPr>
                <w:rFonts w:ascii="Cambria Math" w:hAnsi="Cambria Math"/>
                <w:i/>
              </w:rPr>
            </m:ctrlPr>
          </m:sSubPr>
          <m:e>
            <m:r>
              <m:rPr>
                <m:nor/>
              </m:rPr>
              <w:rPr>
                <w:i/>
              </w:rPr>
              <m:t>σ</m:t>
            </m:r>
          </m:e>
          <m:sub>
            <m:r>
              <m:rPr>
                <m:nor/>
              </m:rPr>
              <w:rPr>
                <w:i/>
              </w:rPr>
              <m:t>θ</m:t>
            </m:r>
          </m:sub>
        </m:sSub>
        <m:r>
          <m:rPr>
            <m:nor/>
          </m:rPr>
          <w:rPr>
            <w:rFonts w:ascii="Cambria Math" w:eastAsia="Times New Roman"/>
            <w:i/>
          </w:rPr>
          <m:t>)=</m:t>
        </m:r>
        <m:f>
          <m:fPr>
            <m:ctrlPr>
              <w:rPr>
                <w:rFonts w:ascii="Cambria Math" w:eastAsia="Times New Roman" w:hAnsi="Cambria Math"/>
                <w:i/>
              </w:rPr>
            </m:ctrlPr>
          </m:fPr>
          <m:num>
            <m:r>
              <m:rPr>
                <m:nor/>
              </m:rPr>
              <w:rPr>
                <w:rFonts w:eastAsia="Times New Roman"/>
                <w:i/>
              </w:rPr>
              <m:t>Pa</m:t>
            </m:r>
            <m:r>
              <m:rPr>
                <m:nor/>
              </m:rPr>
              <w:rPr>
                <w:rFonts w:ascii="Cambria Math" w:eastAsia="Times New Roman"/>
                <w:i/>
              </w:rPr>
              <m:t>i</m:t>
            </m:r>
          </m:num>
          <m:den>
            <m:r>
              <m:rPr>
                <m:nor/>
              </m:rPr>
              <w:rPr>
                <w:rFonts w:eastAsia="Times New Roman"/>
                <w:i/>
              </w:rPr>
              <m:t>h</m:t>
            </m:r>
          </m:den>
        </m:f>
      </m:oMath>
      <w:r w:rsidRPr="00380867">
        <w:rPr>
          <w:rFonts w:ascii="Arial" w:eastAsia="Times New Roman" w:hAnsi="Arial" w:cs="Arial"/>
        </w:rPr>
        <w:t xml:space="preserve"> </w:t>
      </w:r>
    </w:p>
    <w:p w14:paraId="5F5B99EB" w14:textId="77777777" w:rsidR="00CC4F4D" w:rsidRDefault="00CC4F4D">
      <w:pPr>
        <w:spacing w:after="0" w:line="480" w:lineRule="auto"/>
        <w:jc w:val="both"/>
        <w:rPr>
          <w:rFonts w:ascii="Arial" w:eastAsia="Times New Roman" w:hAnsi="Arial" w:cs="Arial"/>
        </w:rPr>
      </w:pPr>
    </w:p>
    <w:p w14:paraId="582CAAB4" w14:textId="77777777" w:rsidR="00CC4F4D" w:rsidRDefault="00CC4F4D">
      <w:pPr>
        <w:spacing w:after="0" w:line="480" w:lineRule="auto"/>
        <w:jc w:val="both"/>
        <w:rPr>
          <w:rFonts w:ascii="Arial" w:eastAsia="Times New Roman" w:hAnsi="Arial" w:cs="Arial"/>
        </w:rPr>
      </w:pPr>
      <w:r w:rsidRPr="003F7A74">
        <w:rPr>
          <w:rFonts w:ascii="Arial" w:eastAsia="Times New Roman" w:hAnsi="Arial" w:cs="Arial"/>
        </w:rPr>
        <w:lastRenderedPageBreak/>
        <w:t xml:space="preserve">Axial stress-stretch curves show means ± SD. Circumferential stress-stretch curves as well as inner radius and wall thickness results were determined from triplicate determinations per sample and are therefore presented as means ± SE. </w:t>
      </w:r>
    </w:p>
    <w:p w14:paraId="7AAA2F13" w14:textId="2DAC23EA" w:rsidR="00CC4F4D" w:rsidRDefault="00CD762A" w:rsidP="00E6189E">
      <w:pPr>
        <w:spacing w:after="0" w:line="480" w:lineRule="auto"/>
        <w:rPr>
          <w:rFonts w:ascii="Arial" w:eastAsia="Times New Roman" w:hAnsi="Arial" w:cs="Arial"/>
        </w:rPr>
      </w:pPr>
      <w:r>
        <w:rPr>
          <w:rFonts w:ascii="Arial" w:eastAsia="Times New Roman" w:hAnsi="Arial" w:cs="Arial"/>
        </w:rPr>
        <w:tab/>
      </w:r>
      <w:r w:rsidR="0009502B">
        <w:rPr>
          <w:rFonts w:ascii="Arial" w:eastAsia="Times New Roman" w:hAnsi="Arial" w:cs="Arial"/>
        </w:rPr>
        <w:t>To estimate tissue stiffness, a</w:t>
      </w:r>
      <w:r w:rsidR="00CC4F4D" w:rsidRPr="002507E3">
        <w:rPr>
          <w:rFonts w:ascii="Arial" w:eastAsia="Times New Roman" w:hAnsi="Arial" w:cs="Arial"/>
        </w:rPr>
        <w:t xml:space="preserve">xial and unloaded circumferential stresses and stretches for each tested vessel </w:t>
      </w:r>
      <w:r w:rsidR="00CC4F4D">
        <w:rPr>
          <w:rFonts w:ascii="Arial" w:eastAsia="Times New Roman" w:hAnsi="Arial" w:cs="Arial"/>
        </w:rPr>
        <w:t xml:space="preserve">were </w:t>
      </w:r>
      <w:r w:rsidR="00CC4F4D" w:rsidRPr="002507E3">
        <w:rPr>
          <w:rFonts w:ascii="Arial" w:eastAsia="Times New Roman" w:hAnsi="Arial" w:cs="Arial"/>
        </w:rPr>
        <w:t xml:space="preserve">fit </w:t>
      </w:r>
      <w:r w:rsidR="00CC4F4D">
        <w:rPr>
          <w:rFonts w:ascii="Arial" w:eastAsia="Times New Roman" w:hAnsi="Arial" w:cs="Arial"/>
        </w:rPr>
        <w:t xml:space="preserve">to an exponential </w:t>
      </w:r>
      <w:r w:rsidR="00FC77A1">
        <w:rPr>
          <w:rFonts w:ascii="Arial" w:eastAsia="Times New Roman" w:hAnsi="Arial" w:cs="Arial"/>
        </w:rPr>
        <w:t>function</w:t>
      </w:r>
      <w:r w:rsidR="007D7849">
        <w:rPr>
          <w:rFonts w:ascii="Arial" w:eastAsia="Times New Roman" w:hAnsi="Arial" w:cs="Arial"/>
        </w:rPr>
        <w:t xml:space="preserve"> </w:t>
      </w:r>
      <w:r w:rsidR="00E5275B">
        <w:rPr>
          <w:rFonts w:ascii="Arial" w:eastAsia="Times New Roman" w:hAnsi="Arial" w:cs="Arial"/>
        </w:rPr>
        <w:t>(y=</w:t>
      </w:r>
      <w:proofErr w:type="spellStart"/>
      <w:r w:rsidR="00E5275B" w:rsidRPr="00E5275B">
        <w:rPr>
          <w:rFonts w:ascii="Arial" w:eastAsia="Times New Roman" w:hAnsi="Arial" w:cs="Arial"/>
        </w:rPr>
        <w:t>a</w:t>
      </w:r>
      <w:r w:rsidR="00E5275B" w:rsidRPr="00CD664B">
        <w:rPr>
          <w:rFonts w:ascii="Arial" w:eastAsia="Times New Roman" w:hAnsi="Arial" w:cs="Arial"/>
          <w:vertAlign w:val="superscript"/>
        </w:rPr>
        <w:t>bx</w:t>
      </w:r>
      <w:proofErr w:type="spellEnd"/>
      <w:r w:rsidR="00E5275B">
        <w:rPr>
          <w:rFonts w:ascii="Arial" w:eastAsia="Times New Roman" w:hAnsi="Arial" w:cs="Arial"/>
        </w:rPr>
        <w:t xml:space="preserve">) </w:t>
      </w:r>
      <w:r w:rsidR="00CC4F4D" w:rsidRPr="00E5275B">
        <w:rPr>
          <w:rFonts w:ascii="Arial" w:eastAsia="Times New Roman" w:hAnsi="Arial" w:cs="Arial"/>
        </w:rPr>
        <w:t>using</w:t>
      </w:r>
      <w:r w:rsidR="00CC4F4D" w:rsidRPr="002507E3">
        <w:rPr>
          <w:rFonts w:ascii="Arial" w:eastAsia="Times New Roman" w:hAnsi="Arial" w:cs="Arial"/>
        </w:rPr>
        <w:t xml:space="preserve"> </w:t>
      </w:r>
      <w:proofErr w:type="spellStart"/>
      <w:r w:rsidR="00CC4F4D" w:rsidRPr="002507E3">
        <w:rPr>
          <w:rFonts w:ascii="Arial" w:eastAsia="Times New Roman" w:hAnsi="Arial" w:cs="Arial"/>
        </w:rPr>
        <w:t>Matlab</w:t>
      </w:r>
      <w:proofErr w:type="spellEnd"/>
      <w:r w:rsidR="00CC4F4D" w:rsidRPr="002507E3">
        <w:rPr>
          <w:rFonts w:ascii="Arial" w:eastAsia="Times New Roman" w:hAnsi="Arial" w:cs="Arial"/>
        </w:rPr>
        <w:t xml:space="preserve"> (R2020a, Curve Fitting Tool). The derivative of each vessels exponential fit was then used to plot </w:t>
      </w:r>
      <w:r w:rsidR="00CC4F4D">
        <w:rPr>
          <w:rFonts w:ascii="Arial" w:eastAsia="Times New Roman" w:hAnsi="Arial" w:cs="Arial"/>
        </w:rPr>
        <w:t xml:space="preserve">the </w:t>
      </w:r>
      <w:r w:rsidR="00CC4F4D" w:rsidRPr="002507E3">
        <w:rPr>
          <w:rFonts w:ascii="Arial" w:eastAsia="Times New Roman" w:hAnsi="Arial" w:cs="Arial"/>
        </w:rPr>
        <w:t>tangent modulus as a function of stretch for each individual vessel</w:t>
      </w:r>
      <w:r w:rsidR="00CC4F4D">
        <w:rPr>
          <w:rFonts w:ascii="Arial" w:eastAsia="Times New Roman" w:hAnsi="Arial" w:cs="Arial"/>
        </w:rPr>
        <w:t xml:space="preserve">. </w:t>
      </w:r>
      <w:r w:rsidR="00CD664B">
        <w:rPr>
          <w:rFonts w:ascii="Arial" w:eastAsia="Times New Roman" w:hAnsi="Arial" w:cs="Arial"/>
        </w:rPr>
        <w:t>Tangent modulus values were passed through the</w:t>
      </w:r>
      <w:r w:rsidR="00CD664B" w:rsidRPr="00CD762A">
        <w:rPr>
          <w:rFonts w:ascii="Arial" w:eastAsia="Times New Roman" w:hAnsi="Arial" w:cs="Arial"/>
        </w:rPr>
        <w:t xml:space="preserve"> Grubbs</w:t>
      </w:r>
      <w:r w:rsidR="00CD664B">
        <w:rPr>
          <w:rFonts w:ascii="Arial" w:eastAsia="Times New Roman" w:hAnsi="Arial" w:cs="Arial"/>
        </w:rPr>
        <w:t>’</w:t>
      </w:r>
      <w:r w:rsidR="00CD664B" w:rsidRPr="00CD762A">
        <w:rPr>
          <w:rFonts w:ascii="Arial" w:eastAsia="Times New Roman" w:hAnsi="Arial" w:cs="Arial"/>
        </w:rPr>
        <w:t xml:space="preserve"> test</w:t>
      </w:r>
      <w:r w:rsidR="00CD664B">
        <w:rPr>
          <w:rFonts w:ascii="Arial" w:eastAsia="Times New Roman" w:hAnsi="Arial" w:cs="Arial"/>
        </w:rPr>
        <w:t xml:space="preserve"> and one mouse was eliminated as an outlier</w:t>
      </w:r>
      <w:r w:rsidR="00CD664B" w:rsidRPr="00CD762A">
        <w:rPr>
          <w:rFonts w:ascii="Arial" w:eastAsia="Times New Roman" w:hAnsi="Arial" w:cs="Arial"/>
        </w:rPr>
        <w:t>.</w:t>
      </w:r>
      <w:r w:rsidR="00CD664B">
        <w:rPr>
          <w:rFonts w:ascii="Arial" w:eastAsia="Times New Roman" w:hAnsi="Arial" w:cs="Arial"/>
        </w:rPr>
        <w:t xml:space="preserve"> </w:t>
      </w:r>
      <w:r w:rsidR="00CC4F4D">
        <w:rPr>
          <w:rFonts w:ascii="Arial" w:eastAsia="Times New Roman" w:hAnsi="Arial" w:cs="Arial"/>
        </w:rPr>
        <w:t>These results</w:t>
      </w:r>
      <w:r w:rsidR="00CC4F4D" w:rsidRPr="002507E3">
        <w:rPr>
          <w:rFonts w:ascii="Arial" w:eastAsia="Times New Roman" w:hAnsi="Arial" w:cs="Arial"/>
        </w:rPr>
        <w:t xml:space="preserve"> were then averaged </w:t>
      </w:r>
      <w:r w:rsidR="00CC4F4D">
        <w:rPr>
          <w:rFonts w:ascii="Arial" w:eastAsia="Times New Roman" w:hAnsi="Arial" w:cs="Arial"/>
        </w:rPr>
        <w:t>and plotted as</w:t>
      </w:r>
      <w:r w:rsidR="00CC4F4D" w:rsidRPr="002507E3">
        <w:rPr>
          <w:rFonts w:ascii="Arial" w:eastAsia="Times New Roman" w:hAnsi="Arial" w:cs="Arial"/>
        </w:rPr>
        <w:t xml:space="preserve"> </w:t>
      </w:r>
      <w:r w:rsidR="00CC4F4D">
        <w:rPr>
          <w:rFonts w:ascii="Arial" w:eastAsia="Times New Roman" w:hAnsi="Arial" w:cs="Arial"/>
        </w:rPr>
        <w:t>the tangent modulus graphs</w:t>
      </w:r>
      <w:r w:rsidR="00CC4F4D" w:rsidRPr="002507E3">
        <w:rPr>
          <w:rFonts w:ascii="Arial" w:eastAsia="Times New Roman" w:hAnsi="Arial" w:cs="Arial"/>
        </w:rPr>
        <w:t xml:space="preserve">. </w:t>
      </w:r>
      <w:r w:rsidR="00CC4F4D" w:rsidRPr="00CD664B">
        <w:rPr>
          <w:rFonts w:ascii="Arial" w:eastAsia="Times New Roman" w:hAnsi="Arial" w:cs="Arial"/>
        </w:rPr>
        <w:t>The adjusted R</w:t>
      </w:r>
      <w:r w:rsidR="00CC4F4D" w:rsidRPr="00CD664B">
        <w:rPr>
          <w:rFonts w:ascii="Arial" w:eastAsia="Times New Roman" w:hAnsi="Arial" w:cs="Arial"/>
          <w:vertAlign w:val="superscript"/>
        </w:rPr>
        <w:t>2</w:t>
      </w:r>
      <w:r w:rsidR="00CC4F4D" w:rsidRPr="00CD664B">
        <w:rPr>
          <w:rFonts w:ascii="Arial" w:eastAsia="Times New Roman" w:hAnsi="Arial" w:cs="Arial"/>
        </w:rPr>
        <w:t xml:space="preserve"> values </w:t>
      </w:r>
      <w:r w:rsidR="00CD664B" w:rsidRPr="00CD664B">
        <w:rPr>
          <w:rFonts w:ascii="Arial" w:eastAsia="Times New Roman" w:hAnsi="Arial" w:cs="Arial"/>
        </w:rPr>
        <w:t>identified</w:t>
      </w:r>
      <w:r w:rsidR="001B53E0" w:rsidRPr="00CD664B">
        <w:rPr>
          <w:rFonts w:ascii="Arial" w:eastAsia="Times New Roman" w:hAnsi="Arial" w:cs="Arial"/>
        </w:rPr>
        <w:t xml:space="preserve"> in </w:t>
      </w:r>
      <w:proofErr w:type="spellStart"/>
      <w:r w:rsidR="001B53E0" w:rsidRPr="00CD664B">
        <w:rPr>
          <w:rFonts w:ascii="Arial" w:eastAsia="Times New Roman" w:hAnsi="Arial" w:cs="Arial"/>
        </w:rPr>
        <w:t>MatLab</w:t>
      </w:r>
      <w:proofErr w:type="spellEnd"/>
      <w:r w:rsidR="001B53E0" w:rsidRPr="00CD664B">
        <w:rPr>
          <w:rFonts w:ascii="Arial" w:eastAsia="Times New Roman" w:hAnsi="Arial" w:cs="Arial"/>
        </w:rPr>
        <w:t xml:space="preserve"> </w:t>
      </w:r>
      <w:r w:rsidR="00CC4F4D" w:rsidRPr="00CD664B">
        <w:rPr>
          <w:rFonts w:ascii="Arial" w:eastAsia="Times New Roman" w:hAnsi="Arial" w:cs="Arial"/>
        </w:rPr>
        <w:t xml:space="preserve">for each fit were assessed to be greater than 0.95 </w:t>
      </w:r>
      <w:proofErr w:type="gramStart"/>
      <w:r w:rsidR="00CC4F4D" w:rsidRPr="00CD664B">
        <w:rPr>
          <w:rFonts w:ascii="Arial" w:eastAsia="Times New Roman" w:hAnsi="Arial" w:cs="Arial"/>
        </w:rPr>
        <w:t>in order to</w:t>
      </w:r>
      <w:proofErr w:type="gramEnd"/>
      <w:r w:rsidR="00CC4F4D" w:rsidRPr="00CD664B">
        <w:rPr>
          <w:rFonts w:ascii="Arial" w:eastAsia="Times New Roman" w:hAnsi="Arial" w:cs="Arial"/>
        </w:rPr>
        <w:t xml:space="preserve"> be included in the mean tangent modulus curves.</w:t>
      </w:r>
      <w:r w:rsidR="00CC4F4D" w:rsidRPr="002507E3">
        <w:rPr>
          <w:rFonts w:ascii="Arial" w:eastAsia="Times New Roman" w:hAnsi="Arial" w:cs="Arial"/>
        </w:rPr>
        <w:t xml:space="preserve"> </w:t>
      </w:r>
    </w:p>
    <w:p w14:paraId="012935CB" w14:textId="77777777" w:rsidR="0009502B" w:rsidRPr="00E6189E" w:rsidRDefault="0009502B" w:rsidP="00E6189E">
      <w:pPr>
        <w:spacing w:after="0" w:line="480" w:lineRule="auto"/>
        <w:rPr>
          <w:rFonts w:ascii="Arial" w:eastAsia="Times New Roman" w:hAnsi="Arial" w:cs="Arial"/>
        </w:rPr>
      </w:pPr>
    </w:p>
    <w:p w14:paraId="3B1F1BDE" w14:textId="446DBE28" w:rsidR="001B3A28" w:rsidRPr="001B3A28" w:rsidRDefault="001B3A28" w:rsidP="00E6189E">
      <w:pPr>
        <w:pStyle w:val="NormalWeb"/>
        <w:spacing w:before="0" w:beforeAutospacing="0" w:after="0" w:afterAutospacing="0" w:line="480" w:lineRule="auto"/>
        <w:jc w:val="both"/>
        <w:rPr>
          <w:rFonts w:ascii="Arial" w:eastAsia="Times New Roman" w:hAnsi="Arial" w:cs="Arial"/>
          <w:sz w:val="22"/>
          <w:szCs w:val="22"/>
        </w:rPr>
      </w:pPr>
      <w:r w:rsidRPr="001B3A28">
        <w:rPr>
          <w:rFonts w:ascii="Arial" w:eastAsia="Times New Roman" w:hAnsi="Arial" w:cs="Arial"/>
          <w:i/>
          <w:iCs/>
          <w:sz w:val="22"/>
          <w:szCs w:val="22"/>
        </w:rPr>
        <w:t>Echocardiography</w:t>
      </w:r>
      <w:r w:rsidR="002B0032">
        <w:rPr>
          <w:rFonts w:ascii="Arial" w:eastAsia="Times New Roman" w:hAnsi="Arial" w:cs="Arial"/>
          <w:sz w:val="22"/>
          <w:szCs w:val="22"/>
        </w:rPr>
        <w:t>.</w:t>
      </w:r>
      <w:r w:rsidRPr="001B3A28">
        <w:rPr>
          <w:rFonts w:ascii="Arial" w:eastAsia="Times New Roman" w:hAnsi="Arial" w:cs="Arial"/>
          <w:sz w:val="22"/>
          <w:szCs w:val="22"/>
        </w:rPr>
        <w:t xml:space="preserve"> Ultrasound examination of the left ventricle was performed using a Fujifilm </w:t>
      </w:r>
      <w:proofErr w:type="spellStart"/>
      <w:r w:rsidRPr="001B3A28">
        <w:rPr>
          <w:rFonts w:ascii="Arial" w:eastAsia="Times New Roman" w:hAnsi="Arial" w:cs="Arial"/>
          <w:sz w:val="22"/>
          <w:szCs w:val="22"/>
        </w:rPr>
        <w:t>VisualSonics</w:t>
      </w:r>
      <w:proofErr w:type="spellEnd"/>
      <w:r w:rsidRPr="001B3A28">
        <w:rPr>
          <w:rFonts w:ascii="Arial" w:eastAsia="Times New Roman" w:hAnsi="Arial" w:cs="Arial"/>
          <w:sz w:val="22"/>
          <w:szCs w:val="22"/>
        </w:rPr>
        <w:t xml:space="preserve"> Ultrasound System (</w:t>
      </w:r>
      <w:proofErr w:type="spellStart"/>
      <w:r w:rsidRPr="001B3A28">
        <w:rPr>
          <w:rFonts w:ascii="Arial" w:eastAsia="Times New Roman" w:hAnsi="Arial" w:cs="Arial"/>
          <w:sz w:val="22"/>
          <w:szCs w:val="22"/>
        </w:rPr>
        <w:t>VisualSonics</w:t>
      </w:r>
      <w:proofErr w:type="spellEnd"/>
      <w:r w:rsidRPr="001B3A28">
        <w:rPr>
          <w:rFonts w:ascii="Arial" w:eastAsia="Times New Roman" w:hAnsi="Arial" w:cs="Arial"/>
          <w:sz w:val="22"/>
          <w:szCs w:val="22"/>
        </w:rPr>
        <w:t xml:space="preserve"> Inc, Toronto, ON, Canada) and using MS400 (18-38 MHZ) transducer. Mice were lightly anesthetized with an </w:t>
      </w:r>
      <w:proofErr w:type="spellStart"/>
      <w:r w:rsidRPr="001B3A28">
        <w:rPr>
          <w:rFonts w:ascii="Arial" w:eastAsia="Times New Roman" w:hAnsi="Arial" w:cs="Arial"/>
          <w:sz w:val="22"/>
          <w:szCs w:val="22"/>
        </w:rPr>
        <w:t>i.p.</w:t>
      </w:r>
      <w:proofErr w:type="spellEnd"/>
      <w:r w:rsidRPr="001B3A28">
        <w:rPr>
          <w:rFonts w:ascii="Arial" w:eastAsia="Times New Roman" w:hAnsi="Arial" w:cs="Arial"/>
          <w:sz w:val="22"/>
          <w:szCs w:val="22"/>
        </w:rPr>
        <w:t xml:space="preserve"> injection of 0.005 ml/g of 2% Avertin (2,2,2-Tribromoethanol, Sigma-Aldrich, St. Louis, MO). Hair was removed from the anterior chest using chemical hair remover (Nair), and the animals were placed on a warming pad in a left lateral decubitus position to maintain normothermia (37°C), monitored by a rectal thermometer. Ultrasound gel was applied to the chest. Care was taken to maintain adequate contact while avoiding excessive pressure on the chest. Left ventricular (LV) systolic function: Two-dimensional long-axis, short-axis M-Mode images were obtained. LV diastolic function: </w:t>
      </w:r>
      <w:proofErr w:type="spellStart"/>
      <w:r w:rsidRPr="001B3A28">
        <w:rPr>
          <w:rFonts w:ascii="Arial" w:eastAsia="Times New Roman" w:hAnsi="Arial" w:cs="Arial"/>
          <w:sz w:val="22"/>
          <w:szCs w:val="22"/>
        </w:rPr>
        <w:t>Transmitral</w:t>
      </w:r>
      <w:proofErr w:type="spellEnd"/>
      <w:r w:rsidRPr="001B3A28">
        <w:rPr>
          <w:rFonts w:ascii="Arial" w:eastAsia="Times New Roman" w:hAnsi="Arial" w:cs="Arial"/>
          <w:sz w:val="22"/>
          <w:szCs w:val="22"/>
        </w:rPr>
        <w:t xml:space="preserve"> inflow pattern and tissue Doppler were obtained in modified 4 chamber apical view. After completion of the imaging studies, mice </w:t>
      </w:r>
      <w:proofErr w:type="gramStart"/>
      <w:r w:rsidRPr="001B3A28">
        <w:rPr>
          <w:rFonts w:ascii="Arial" w:eastAsia="Times New Roman" w:hAnsi="Arial" w:cs="Arial"/>
          <w:sz w:val="22"/>
          <w:szCs w:val="22"/>
        </w:rPr>
        <w:t>were allowed to</w:t>
      </w:r>
      <w:proofErr w:type="gramEnd"/>
      <w:r w:rsidRPr="001B3A28">
        <w:rPr>
          <w:rFonts w:ascii="Arial" w:eastAsia="Times New Roman" w:hAnsi="Arial" w:cs="Arial"/>
          <w:sz w:val="22"/>
          <w:szCs w:val="22"/>
        </w:rPr>
        <w:t xml:space="preserve"> recover from anesthesia and returned to their cages. M Mode Images were analyzed for LV structure and function related parameters and Pulse wave and tissue Doppler images were analyzed for diastolic function related parameters using Vevo Lab software (Visual Sonics Inc, Toronto, ON, Canada).  </w:t>
      </w:r>
    </w:p>
    <w:p w14:paraId="1CF79D5F" w14:textId="3F59A9D6" w:rsidR="00CC4F4D" w:rsidRDefault="001B3A28" w:rsidP="00E6189E">
      <w:pPr>
        <w:pStyle w:val="NormalWeb"/>
        <w:spacing w:before="0" w:beforeAutospacing="0" w:after="0" w:afterAutospacing="0" w:line="480" w:lineRule="auto"/>
        <w:jc w:val="both"/>
        <w:rPr>
          <w:rFonts w:ascii="Arial" w:eastAsia="Times New Roman" w:hAnsi="Arial" w:cs="Arial"/>
          <w:sz w:val="22"/>
          <w:szCs w:val="22"/>
        </w:rPr>
      </w:pPr>
      <w:r w:rsidRPr="001B3A28">
        <w:rPr>
          <w:rFonts w:ascii="Arial" w:eastAsia="Times New Roman" w:hAnsi="Arial" w:cs="Arial"/>
          <w:i/>
          <w:iCs/>
          <w:sz w:val="22"/>
          <w:szCs w:val="22"/>
        </w:rPr>
        <w:lastRenderedPageBreak/>
        <w:t>Aortic Catheterization</w:t>
      </w:r>
      <w:r w:rsidR="002B0032">
        <w:rPr>
          <w:rFonts w:ascii="Arial" w:eastAsia="Times New Roman" w:hAnsi="Arial" w:cs="Arial"/>
          <w:sz w:val="22"/>
          <w:szCs w:val="22"/>
        </w:rPr>
        <w:t>.</w:t>
      </w:r>
      <w:r w:rsidRPr="001B3A28">
        <w:rPr>
          <w:rFonts w:ascii="Arial" w:eastAsia="Times New Roman" w:hAnsi="Arial" w:cs="Arial"/>
          <w:sz w:val="22"/>
          <w:szCs w:val="22"/>
        </w:rPr>
        <w:t xml:space="preserve"> Closed-chest cardiac catheterization was performed under isoflurane (1.5-4%) by ligating the right carotid artery and advancing a 1F Millar catheter (SPR-1000) into the ascending aorta, where it was secured.  Measurements were taken using Millar MPVS Ultra and </w:t>
      </w:r>
      <w:proofErr w:type="spellStart"/>
      <w:r w:rsidRPr="001B3A28">
        <w:rPr>
          <w:rFonts w:ascii="Arial" w:eastAsia="Times New Roman" w:hAnsi="Arial" w:cs="Arial"/>
          <w:sz w:val="22"/>
          <w:szCs w:val="22"/>
        </w:rPr>
        <w:t>ADInstruments</w:t>
      </w:r>
      <w:proofErr w:type="spellEnd"/>
      <w:r w:rsidRPr="001B3A28">
        <w:rPr>
          <w:rFonts w:ascii="Arial" w:eastAsia="Times New Roman" w:hAnsi="Arial" w:cs="Arial"/>
          <w:sz w:val="22"/>
          <w:szCs w:val="22"/>
        </w:rPr>
        <w:t xml:space="preserve"> </w:t>
      </w:r>
      <w:proofErr w:type="spellStart"/>
      <w:r w:rsidRPr="001B3A28">
        <w:rPr>
          <w:rFonts w:ascii="Arial" w:eastAsia="Times New Roman" w:hAnsi="Arial" w:cs="Arial"/>
          <w:sz w:val="22"/>
          <w:szCs w:val="22"/>
        </w:rPr>
        <w:t>LabChart</w:t>
      </w:r>
      <w:proofErr w:type="spellEnd"/>
      <w:r w:rsidRPr="001B3A28">
        <w:rPr>
          <w:rFonts w:ascii="Arial" w:eastAsia="Times New Roman" w:hAnsi="Arial" w:cs="Arial"/>
          <w:sz w:val="22"/>
          <w:szCs w:val="22"/>
        </w:rPr>
        <w:t xml:space="preserve"> for approximately 5 minutes after catheter insertion.  The temperature of the animal was maintained between 36.5-37.5 degrees Celsius.</w:t>
      </w:r>
    </w:p>
    <w:p w14:paraId="0A95A3AB" w14:textId="77777777" w:rsidR="00CC4F4D" w:rsidRDefault="00CC4F4D" w:rsidP="00E6189E">
      <w:pPr>
        <w:pStyle w:val="NormalWeb"/>
        <w:spacing w:before="0" w:beforeAutospacing="0" w:after="0" w:afterAutospacing="0" w:line="480" w:lineRule="auto"/>
        <w:jc w:val="both"/>
        <w:rPr>
          <w:rFonts w:ascii="Arial" w:eastAsia="Times New Roman" w:hAnsi="Arial" w:cs="Arial"/>
          <w:sz w:val="22"/>
          <w:szCs w:val="22"/>
        </w:rPr>
      </w:pPr>
    </w:p>
    <w:p w14:paraId="5A353F26" w14:textId="2C9F275E" w:rsidR="00CC4F4D" w:rsidRDefault="00CC4F4D" w:rsidP="0009502B">
      <w:pPr>
        <w:spacing w:after="0" w:line="480" w:lineRule="auto"/>
        <w:jc w:val="both"/>
        <w:rPr>
          <w:rFonts w:ascii="Arial" w:eastAsia="Times New Roman" w:hAnsi="Arial" w:cs="Arial"/>
        </w:rPr>
      </w:pPr>
      <w:r>
        <w:rPr>
          <w:rFonts w:ascii="Arial" w:eastAsia="Times New Roman" w:hAnsi="Arial" w:cs="Arial"/>
          <w:i/>
          <w:iCs/>
        </w:rPr>
        <w:t xml:space="preserve">Cell culture, viral </w:t>
      </w:r>
      <w:proofErr w:type="gramStart"/>
      <w:r>
        <w:rPr>
          <w:rFonts w:ascii="Arial" w:eastAsia="Times New Roman" w:hAnsi="Arial" w:cs="Arial"/>
          <w:i/>
          <w:iCs/>
        </w:rPr>
        <w:t>infection</w:t>
      </w:r>
      <w:proofErr w:type="gramEnd"/>
      <w:r>
        <w:rPr>
          <w:rFonts w:ascii="Arial" w:eastAsia="Times New Roman" w:hAnsi="Arial" w:cs="Arial"/>
          <w:i/>
          <w:iCs/>
        </w:rPr>
        <w:t xml:space="preserve"> and RNAi</w:t>
      </w:r>
      <w:r w:rsidR="002B0032">
        <w:rPr>
          <w:rFonts w:ascii="Arial" w:eastAsia="Times New Roman" w:hAnsi="Arial" w:cs="Arial"/>
        </w:rPr>
        <w:t>.</w:t>
      </w:r>
      <w:r w:rsidRPr="007634FF">
        <w:rPr>
          <w:rFonts w:ascii="Arial" w:eastAsia="Times New Roman" w:hAnsi="Arial" w:cs="Arial"/>
        </w:rPr>
        <w:t xml:space="preserve"> </w:t>
      </w:r>
      <w:r w:rsidRPr="007D5D49">
        <w:rPr>
          <w:rFonts w:ascii="Arial" w:eastAsia="Times New Roman" w:hAnsi="Arial" w:cs="Arial"/>
          <w:color w:val="000000"/>
        </w:rPr>
        <w:t xml:space="preserve">Primary mouse SMCs were isolated from </w:t>
      </w:r>
      <w:r w:rsidR="0009502B">
        <w:rPr>
          <w:rFonts w:ascii="Arial" w:eastAsia="Times New Roman" w:hAnsi="Arial" w:cs="Arial"/>
          <w:color w:val="000000"/>
        </w:rPr>
        <w:t xml:space="preserve">the descending aortas of </w:t>
      </w:r>
      <w:r w:rsidRPr="007D5D49">
        <w:rPr>
          <w:rFonts w:ascii="Arial" w:eastAsia="Times New Roman" w:hAnsi="Arial" w:cs="Arial"/>
          <w:color w:val="000000"/>
        </w:rPr>
        <w:t xml:space="preserve">2-month old WT and HGPS male mice and prepared </w:t>
      </w:r>
      <w:r>
        <w:rPr>
          <w:rFonts w:ascii="Arial" w:eastAsia="Times New Roman" w:hAnsi="Arial" w:cs="Arial"/>
          <w:color w:val="000000"/>
        </w:rPr>
        <w:t>by</w:t>
      </w:r>
      <w:r w:rsidRPr="007D5D49">
        <w:rPr>
          <w:rFonts w:ascii="Arial" w:eastAsia="Times New Roman" w:hAnsi="Arial" w:cs="Arial"/>
          <w:color w:val="000000"/>
        </w:rPr>
        <w:t xml:space="preserve"> explant culture as described </w:t>
      </w:r>
      <w:r>
        <w:rPr>
          <w:rFonts w:ascii="Arial" w:eastAsia="Times New Roman" w:hAnsi="Arial" w:cs="Arial"/>
          <w:color w:val="000000"/>
        </w:rPr>
        <w:t>(16)</w:t>
      </w:r>
      <w:r w:rsidRPr="007D5D49">
        <w:rPr>
          <w:rFonts w:ascii="Arial" w:eastAsia="Times New Roman" w:hAnsi="Arial" w:cs="Arial"/>
          <w:color w:val="000000"/>
        </w:rPr>
        <w:t xml:space="preserve">. SMCs were cultured in growth medium </w:t>
      </w:r>
      <w:r>
        <w:rPr>
          <w:rFonts w:ascii="Arial" w:eastAsia="Times New Roman" w:hAnsi="Arial" w:cs="Arial"/>
          <w:color w:val="000000"/>
        </w:rPr>
        <w:t>[</w:t>
      </w:r>
      <w:r w:rsidRPr="007D5D49">
        <w:rPr>
          <w:rFonts w:ascii="Arial" w:eastAsia="Times New Roman" w:hAnsi="Arial" w:cs="Arial"/>
          <w:color w:val="000000"/>
        </w:rPr>
        <w:t xml:space="preserve">1:1 Dulbecco’s modified Eagle’s medium (DMEM)/Ham’s F-12 supplemented with 2mM L-glutamine and </w:t>
      </w:r>
      <w:r>
        <w:rPr>
          <w:rFonts w:ascii="Arial" w:eastAsia="Times New Roman" w:hAnsi="Arial" w:cs="Arial"/>
          <w:color w:val="000000"/>
        </w:rPr>
        <w:t>20mM</w:t>
      </w:r>
      <w:r w:rsidRPr="007D5D49">
        <w:rPr>
          <w:rFonts w:ascii="Arial" w:eastAsia="Times New Roman" w:hAnsi="Arial" w:cs="Arial"/>
          <w:color w:val="000000"/>
        </w:rPr>
        <w:t xml:space="preserve"> HEPES</w:t>
      </w:r>
      <w:r>
        <w:rPr>
          <w:rFonts w:ascii="Arial" w:eastAsia="Times New Roman" w:hAnsi="Arial" w:cs="Arial"/>
          <w:color w:val="000000"/>
        </w:rPr>
        <w:t xml:space="preserve">, </w:t>
      </w:r>
      <w:r w:rsidRPr="002A476E">
        <w:rPr>
          <w:rFonts w:ascii="Arial" w:eastAsia="Times New Roman" w:hAnsi="Arial" w:cs="Arial"/>
          <w:color w:val="000000"/>
        </w:rPr>
        <w:t>pH7.4</w:t>
      </w:r>
      <w:r>
        <w:rPr>
          <w:rFonts w:ascii="Arial" w:eastAsia="Times New Roman" w:hAnsi="Arial" w:cs="Arial"/>
          <w:color w:val="000000"/>
        </w:rPr>
        <w:t>]</w:t>
      </w:r>
      <w:r w:rsidRPr="007D5D49">
        <w:rPr>
          <w:rFonts w:ascii="Arial" w:eastAsia="Times New Roman" w:hAnsi="Arial" w:cs="Arial"/>
          <w:color w:val="000000"/>
        </w:rPr>
        <w:t xml:space="preserve"> with </w:t>
      </w:r>
      <w:r w:rsidR="00E6189E">
        <w:rPr>
          <w:rFonts w:ascii="Arial" w:eastAsia="Times New Roman" w:hAnsi="Arial" w:cs="Arial"/>
          <w:color w:val="000000"/>
        </w:rPr>
        <w:t>2</w:t>
      </w:r>
      <w:r w:rsidRPr="007D5D49">
        <w:rPr>
          <w:rFonts w:ascii="Arial" w:eastAsia="Times New Roman" w:hAnsi="Arial" w:cs="Arial"/>
          <w:color w:val="000000"/>
        </w:rPr>
        <w:t>0% FBS.</w:t>
      </w:r>
      <w:r>
        <w:rPr>
          <w:rFonts w:ascii="Arial" w:eastAsia="Times New Roman" w:hAnsi="Arial" w:cs="Arial"/>
          <w:color w:val="000000"/>
        </w:rPr>
        <w:t xml:space="preserve"> Cells were passaged at </w:t>
      </w:r>
      <w:r w:rsidR="0009502B">
        <w:rPr>
          <w:rFonts w:ascii="Arial" w:eastAsia="Times New Roman" w:hAnsi="Arial" w:cs="Arial"/>
          <w:color w:val="000000"/>
        </w:rPr>
        <w:t>near</w:t>
      </w:r>
      <w:r>
        <w:rPr>
          <w:rFonts w:ascii="Arial" w:eastAsia="Times New Roman" w:hAnsi="Arial" w:cs="Arial"/>
          <w:color w:val="000000"/>
        </w:rPr>
        <w:t xml:space="preserve"> confluence with trypsin/EDTA and</w:t>
      </w:r>
      <w:r w:rsidRPr="007D5D49">
        <w:rPr>
          <w:rFonts w:ascii="Arial" w:eastAsia="Times New Roman" w:hAnsi="Arial" w:cs="Arial"/>
          <w:color w:val="000000"/>
        </w:rPr>
        <w:t xml:space="preserve"> used between pass</w:t>
      </w:r>
      <w:r>
        <w:rPr>
          <w:rFonts w:ascii="Arial" w:eastAsia="Times New Roman" w:hAnsi="Arial" w:cs="Arial"/>
          <w:color w:val="000000"/>
        </w:rPr>
        <w:t>ag</w:t>
      </w:r>
      <w:r w:rsidRPr="007D5D49">
        <w:rPr>
          <w:rFonts w:ascii="Arial" w:eastAsia="Times New Roman" w:hAnsi="Arial" w:cs="Arial"/>
          <w:color w:val="000000"/>
        </w:rPr>
        <w:t xml:space="preserve">es </w:t>
      </w:r>
      <w:r>
        <w:rPr>
          <w:rFonts w:ascii="Arial" w:eastAsia="Times New Roman" w:hAnsi="Arial" w:cs="Arial"/>
          <w:color w:val="000000"/>
        </w:rPr>
        <w:t xml:space="preserve">2-4. </w:t>
      </w:r>
      <w:r>
        <w:rPr>
          <w:rFonts w:ascii="Arial" w:eastAsia="Times New Roman" w:hAnsi="Arial" w:cs="Arial"/>
        </w:rPr>
        <w:t>Near confluent, asynchronous SMCs</w:t>
      </w:r>
      <w:r w:rsidRPr="007634FF">
        <w:rPr>
          <w:rFonts w:ascii="Arial" w:eastAsia="Times New Roman" w:hAnsi="Arial" w:cs="Arial"/>
        </w:rPr>
        <w:t xml:space="preserve"> were infected with adenovirus</w:t>
      </w:r>
      <w:r>
        <w:rPr>
          <w:rFonts w:ascii="Arial" w:eastAsia="Times New Roman" w:hAnsi="Arial" w:cs="Arial"/>
        </w:rPr>
        <w:t>es encoding LacZ (control)</w:t>
      </w:r>
      <w:r w:rsidRPr="007634FF">
        <w:rPr>
          <w:rFonts w:ascii="Arial" w:eastAsia="Times New Roman" w:hAnsi="Arial" w:cs="Arial"/>
        </w:rPr>
        <w:t xml:space="preserve"> or</w:t>
      </w:r>
      <w:r>
        <w:rPr>
          <w:rFonts w:ascii="Arial" w:eastAsia="Times New Roman" w:hAnsi="Arial" w:cs="Arial"/>
        </w:rPr>
        <w:t xml:space="preserve"> miR-145 (</w:t>
      </w:r>
      <w:r w:rsidRPr="007634FF">
        <w:rPr>
          <w:rFonts w:ascii="Arial" w:eastAsia="Times New Roman" w:hAnsi="Arial" w:cs="Arial"/>
        </w:rPr>
        <w:t>AdmiRa-has-miR-145-5p</w:t>
      </w:r>
      <w:r>
        <w:rPr>
          <w:rFonts w:ascii="Arial" w:eastAsia="Times New Roman" w:hAnsi="Arial" w:cs="Arial"/>
        </w:rPr>
        <w:t xml:space="preserve">; </w:t>
      </w:r>
      <w:r w:rsidRPr="007634FF">
        <w:rPr>
          <w:rFonts w:ascii="Arial" w:eastAsia="Times New Roman" w:hAnsi="Arial" w:cs="Arial"/>
        </w:rPr>
        <w:t xml:space="preserve">ABM </w:t>
      </w:r>
      <w:r>
        <w:rPr>
          <w:rFonts w:ascii="Arial" w:eastAsia="Times New Roman" w:hAnsi="Arial" w:cs="Arial"/>
        </w:rPr>
        <w:t>#</w:t>
      </w:r>
      <w:r w:rsidRPr="007634FF">
        <w:rPr>
          <w:rFonts w:ascii="Arial" w:eastAsia="Times New Roman" w:hAnsi="Arial" w:cs="Arial"/>
        </w:rPr>
        <w:t>mh0185)</w:t>
      </w:r>
      <w:r>
        <w:rPr>
          <w:rFonts w:ascii="Arial" w:eastAsia="Times New Roman" w:hAnsi="Arial" w:cs="Arial"/>
        </w:rPr>
        <w:t xml:space="preserve"> at a MOI of 600 in growth medium and incubated overnight. The cells were incubated for 72 hours in fresh growth medium before sample collection. </w:t>
      </w:r>
      <w:r w:rsidR="00656AC9">
        <w:rPr>
          <w:rFonts w:ascii="Arial" w:eastAsia="Times New Roman" w:hAnsi="Arial" w:cs="Arial"/>
        </w:rPr>
        <w:t>I</w:t>
      </w:r>
      <w:r>
        <w:rPr>
          <w:rFonts w:ascii="Arial" w:eastAsia="Times New Roman" w:hAnsi="Arial" w:cs="Arial"/>
        </w:rPr>
        <w:t xml:space="preserve">nfection efficiency </w:t>
      </w:r>
      <w:r w:rsidR="00656AC9">
        <w:rPr>
          <w:rFonts w:ascii="Arial" w:eastAsia="Times New Roman" w:hAnsi="Arial" w:cs="Arial"/>
        </w:rPr>
        <w:t xml:space="preserve">of the miR-145 adenovirus </w:t>
      </w:r>
      <w:r>
        <w:rPr>
          <w:rFonts w:ascii="Arial" w:eastAsia="Times New Roman" w:hAnsi="Arial" w:cs="Arial"/>
        </w:rPr>
        <w:t>was ~70% as determined by expression of co-transcribed GFP. siRNA-mediated k</w:t>
      </w:r>
      <w:r w:rsidRPr="004F326D">
        <w:rPr>
          <w:rFonts w:ascii="Arial" w:eastAsia="Times New Roman" w:hAnsi="Arial" w:cs="Arial"/>
        </w:rPr>
        <w:t xml:space="preserve">nock-down of </w:t>
      </w:r>
      <w:r>
        <w:rPr>
          <w:rFonts w:ascii="Arial" w:eastAsia="Times New Roman" w:hAnsi="Arial" w:cs="Arial"/>
        </w:rPr>
        <w:t>Lamin A</w:t>
      </w:r>
      <w:r w:rsidRPr="007634FF">
        <w:rPr>
          <w:rFonts w:ascii="Arial" w:eastAsia="Times New Roman" w:hAnsi="Arial" w:cs="Arial"/>
        </w:rPr>
        <w:t xml:space="preserve"> in </w:t>
      </w:r>
      <w:r>
        <w:rPr>
          <w:rFonts w:ascii="Arial" w:eastAsia="Times New Roman" w:hAnsi="Arial" w:cs="Arial"/>
        </w:rPr>
        <w:t xml:space="preserve">near-confluent WT </w:t>
      </w:r>
      <w:r w:rsidRPr="007634FF">
        <w:rPr>
          <w:rFonts w:ascii="Arial" w:eastAsia="Times New Roman" w:hAnsi="Arial" w:cs="Arial"/>
        </w:rPr>
        <w:t xml:space="preserve">SMCs was performed using Lipofectamine </w:t>
      </w:r>
      <w:proofErr w:type="spellStart"/>
      <w:r w:rsidRPr="007634FF">
        <w:rPr>
          <w:rFonts w:ascii="Arial" w:eastAsia="Times New Roman" w:hAnsi="Arial" w:cs="Arial"/>
        </w:rPr>
        <w:t>RNAiMAX</w:t>
      </w:r>
      <w:proofErr w:type="spellEnd"/>
      <w:r w:rsidRPr="007634FF">
        <w:rPr>
          <w:rFonts w:ascii="Arial" w:eastAsia="Times New Roman" w:hAnsi="Arial" w:cs="Arial"/>
        </w:rPr>
        <w:t xml:space="preserve"> Transfection Reagent </w:t>
      </w:r>
      <w:r>
        <w:rPr>
          <w:rFonts w:ascii="Arial" w:eastAsia="Times New Roman" w:hAnsi="Arial" w:cs="Arial"/>
        </w:rPr>
        <w:t>(</w:t>
      </w:r>
      <w:proofErr w:type="spellStart"/>
      <w:r>
        <w:rPr>
          <w:rFonts w:ascii="Arial" w:eastAsia="Times New Roman" w:hAnsi="Arial" w:cs="Arial"/>
        </w:rPr>
        <w:t>Thermofisher</w:t>
      </w:r>
      <w:proofErr w:type="spellEnd"/>
      <w:r>
        <w:rPr>
          <w:rFonts w:ascii="Arial" w:eastAsia="Times New Roman" w:hAnsi="Arial" w:cs="Arial"/>
        </w:rPr>
        <w:t xml:space="preserve"> #13778100) </w:t>
      </w:r>
      <w:r w:rsidRPr="007634FF">
        <w:rPr>
          <w:rFonts w:ascii="Arial" w:eastAsia="Times New Roman" w:hAnsi="Arial" w:cs="Arial"/>
        </w:rPr>
        <w:t xml:space="preserve">in OPTI-MEM with final siRNA concentrations of 150 </w:t>
      </w:r>
      <w:proofErr w:type="spellStart"/>
      <w:r w:rsidRPr="007634FF">
        <w:rPr>
          <w:rFonts w:ascii="Arial" w:eastAsia="Times New Roman" w:hAnsi="Arial" w:cs="Arial"/>
        </w:rPr>
        <w:t>nM</w:t>
      </w:r>
      <w:proofErr w:type="spellEnd"/>
      <w:r w:rsidRPr="007634FF">
        <w:rPr>
          <w:rFonts w:ascii="Arial" w:eastAsia="Times New Roman" w:hAnsi="Arial" w:cs="Arial"/>
        </w:rPr>
        <w:t xml:space="preserve"> (</w:t>
      </w:r>
      <w:proofErr w:type="spellStart"/>
      <w:r>
        <w:rPr>
          <w:rFonts w:ascii="Arial" w:eastAsia="Times New Roman" w:hAnsi="Arial" w:cs="Arial"/>
        </w:rPr>
        <w:t>Thermofisher</w:t>
      </w:r>
      <w:proofErr w:type="spellEnd"/>
      <w:r>
        <w:rPr>
          <w:rFonts w:ascii="Arial" w:eastAsia="Times New Roman" w:hAnsi="Arial" w:cs="Arial"/>
        </w:rPr>
        <w:t xml:space="preserve"> </w:t>
      </w:r>
      <w:r w:rsidRPr="007634FF">
        <w:rPr>
          <w:rFonts w:ascii="Arial" w:eastAsia="Times New Roman" w:hAnsi="Arial" w:cs="Arial"/>
        </w:rPr>
        <w:t xml:space="preserve">siRNA ID #s69252, #s69253, #s69254). </w:t>
      </w:r>
      <w:r w:rsidRPr="0002642F">
        <w:rPr>
          <w:rFonts w:ascii="Arial" w:eastAsia="Times New Roman" w:hAnsi="Arial" w:cs="Arial"/>
        </w:rPr>
        <w:t>A non-specific siRNA (</w:t>
      </w:r>
      <w:proofErr w:type="spellStart"/>
      <w:r w:rsidRPr="0002642F">
        <w:rPr>
          <w:rFonts w:ascii="Arial" w:eastAsia="Times New Roman" w:hAnsi="Arial" w:cs="Arial"/>
        </w:rPr>
        <w:t>Ambion</w:t>
      </w:r>
      <w:proofErr w:type="spellEnd"/>
      <w:r w:rsidRPr="0002642F">
        <w:rPr>
          <w:rFonts w:ascii="Arial" w:eastAsia="Times New Roman" w:hAnsi="Arial" w:cs="Arial"/>
        </w:rPr>
        <w:t xml:space="preserve"> 4390843) was used as control. </w:t>
      </w:r>
      <w:r w:rsidRPr="007634FF">
        <w:rPr>
          <w:rFonts w:ascii="Arial" w:eastAsia="Times New Roman" w:hAnsi="Arial" w:cs="Arial"/>
        </w:rPr>
        <w:t xml:space="preserve">After 4 hours of siRNA transfection, cells were switched to fresh </w:t>
      </w:r>
      <w:r>
        <w:rPr>
          <w:rFonts w:ascii="Arial" w:eastAsia="Times New Roman" w:hAnsi="Arial" w:cs="Arial"/>
        </w:rPr>
        <w:t>growth medium</w:t>
      </w:r>
      <w:r w:rsidRPr="007634FF">
        <w:rPr>
          <w:rFonts w:ascii="Arial" w:eastAsia="Times New Roman" w:hAnsi="Arial" w:cs="Arial"/>
        </w:rPr>
        <w:t xml:space="preserve">. Total RNA </w:t>
      </w:r>
      <w:r>
        <w:rPr>
          <w:rFonts w:ascii="Arial" w:eastAsia="Times New Roman" w:hAnsi="Arial" w:cs="Arial"/>
        </w:rPr>
        <w:t xml:space="preserve">or protein </w:t>
      </w:r>
      <w:r w:rsidRPr="007634FF">
        <w:rPr>
          <w:rFonts w:ascii="Arial" w:eastAsia="Times New Roman" w:hAnsi="Arial" w:cs="Arial"/>
        </w:rPr>
        <w:t xml:space="preserve">was collected 72 hours after transfection using </w:t>
      </w:r>
      <w:proofErr w:type="spellStart"/>
      <w:r w:rsidRPr="007634FF">
        <w:rPr>
          <w:rFonts w:ascii="Arial" w:eastAsia="Times New Roman" w:hAnsi="Arial" w:cs="Arial"/>
        </w:rPr>
        <w:t>T</w:t>
      </w:r>
      <w:r>
        <w:rPr>
          <w:rFonts w:ascii="Arial" w:eastAsia="Times New Roman" w:hAnsi="Arial" w:cs="Arial"/>
        </w:rPr>
        <w:t>RI</w:t>
      </w:r>
      <w:r w:rsidRPr="007634FF">
        <w:rPr>
          <w:rFonts w:ascii="Arial" w:eastAsia="Times New Roman" w:hAnsi="Arial" w:cs="Arial"/>
        </w:rPr>
        <w:t>zol</w:t>
      </w:r>
      <w:proofErr w:type="spellEnd"/>
      <w:r w:rsidRPr="007634FF">
        <w:rPr>
          <w:rFonts w:ascii="Arial" w:eastAsia="Times New Roman" w:hAnsi="Arial" w:cs="Arial"/>
        </w:rPr>
        <w:t xml:space="preserve"> reagent</w:t>
      </w:r>
      <w:r>
        <w:rPr>
          <w:rFonts w:ascii="Arial" w:eastAsia="Times New Roman" w:hAnsi="Arial" w:cs="Arial"/>
        </w:rPr>
        <w:t xml:space="preserve"> (for RNA analysis) or </w:t>
      </w:r>
      <w:r w:rsidR="002B0032">
        <w:rPr>
          <w:rFonts w:ascii="Arial" w:eastAsia="Times New Roman" w:hAnsi="Arial" w:cs="Arial"/>
        </w:rPr>
        <w:t xml:space="preserve">immunoblotting </w:t>
      </w:r>
      <w:r w:rsidR="003A429C">
        <w:rPr>
          <w:rFonts w:ascii="Arial" w:eastAsia="Times New Roman" w:hAnsi="Arial" w:cs="Arial"/>
        </w:rPr>
        <w:t xml:space="preserve">lysis </w:t>
      </w:r>
      <w:r>
        <w:rPr>
          <w:rFonts w:ascii="Arial" w:eastAsia="Times New Roman" w:hAnsi="Arial" w:cs="Arial"/>
        </w:rPr>
        <w:t>buffer (</w:t>
      </w:r>
      <w:r w:rsidR="002B0032">
        <w:rPr>
          <w:rFonts w:ascii="Arial" w:eastAsia="Times New Roman" w:hAnsi="Arial" w:cs="Arial"/>
        </w:rPr>
        <w:t>see above</w:t>
      </w:r>
      <w:r>
        <w:rPr>
          <w:rFonts w:ascii="Arial" w:eastAsia="Times New Roman" w:hAnsi="Arial" w:cs="Arial"/>
        </w:rPr>
        <w:t>), respectively</w:t>
      </w:r>
      <w:r w:rsidRPr="007634FF">
        <w:rPr>
          <w:rFonts w:ascii="Arial" w:eastAsia="Times New Roman" w:hAnsi="Arial" w:cs="Arial"/>
        </w:rPr>
        <w:t>.</w:t>
      </w:r>
      <w:r>
        <w:rPr>
          <w:rFonts w:ascii="Arial" w:eastAsia="Times New Roman" w:hAnsi="Arial" w:cs="Arial"/>
        </w:rPr>
        <w:t xml:space="preserve"> </w:t>
      </w:r>
    </w:p>
    <w:p w14:paraId="043020F8" w14:textId="77777777" w:rsidR="00CC4F4D" w:rsidRDefault="00CC4F4D" w:rsidP="0009502B">
      <w:pPr>
        <w:spacing w:after="0" w:line="480" w:lineRule="auto"/>
        <w:jc w:val="both"/>
        <w:rPr>
          <w:rFonts w:ascii="Arial" w:eastAsia="Times New Roman" w:hAnsi="Arial" w:cs="Arial"/>
        </w:rPr>
      </w:pPr>
    </w:p>
    <w:p w14:paraId="24B1A91C" w14:textId="77777777" w:rsidR="00CC4F4D" w:rsidRPr="001B3A28" w:rsidRDefault="00CC4F4D" w:rsidP="00E6189E">
      <w:pPr>
        <w:pStyle w:val="NormalWeb"/>
        <w:spacing w:before="0" w:beforeAutospacing="0" w:after="0" w:afterAutospacing="0" w:line="480" w:lineRule="auto"/>
        <w:jc w:val="both"/>
        <w:rPr>
          <w:rFonts w:ascii="Arial" w:eastAsia="Times New Roman" w:hAnsi="Arial" w:cs="Arial"/>
          <w:sz w:val="22"/>
          <w:szCs w:val="22"/>
        </w:rPr>
      </w:pPr>
    </w:p>
    <w:p w14:paraId="4F7B9623" w14:textId="77777777" w:rsidR="00C1284D" w:rsidRPr="007634FF" w:rsidRDefault="00C1284D" w:rsidP="0009502B">
      <w:pPr>
        <w:spacing w:after="0" w:line="480" w:lineRule="auto"/>
        <w:jc w:val="both"/>
        <w:rPr>
          <w:rFonts w:ascii="Arial" w:eastAsia="Times New Roman" w:hAnsi="Arial" w:cs="Arial"/>
        </w:rPr>
      </w:pPr>
    </w:p>
    <w:p w14:paraId="7553795A" w14:textId="77777777" w:rsidR="00E6189E" w:rsidRDefault="00E6189E" w:rsidP="0009502B">
      <w:pPr>
        <w:pStyle w:val="PlainText"/>
        <w:spacing w:line="480" w:lineRule="auto"/>
        <w:jc w:val="both"/>
        <w:rPr>
          <w:rFonts w:ascii="Arial" w:hAnsi="Arial" w:cs="Arial"/>
          <w:b/>
          <w:bCs/>
          <w:sz w:val="22"/>
          <w:szCs w:val="22"/>
        </w:rPr>
      </w:pPr>
    </w:p>
    <w:p w14:paraId="188184E9" w14:textId="70B60B40" w:rsidR="009F4842" w:rsidRPr="009F4842" w:rsidRDefault="00F55D92" w:rsidP="00CD664B">
      <w:pPr>
        <w:rPr>
          <w:rFonts w:ascii="Arial" w:hAnsi="Arial" w:cs="Arial"/>
          <w:b/>
          <w:bCs/>
        </w:rPr>
      </w:pPr>
      <w:r>
        <w:rPr>
          <w:rFonts w:ascii="Arial" w:hAnsi="Arial" w:cs="Arial"/>
          <w:b/>
          <w:bCs/>
        </w:rPr>
        <w:br w:type="page"/>
      </w:r>
      <w:r w:rsidR="009F4842" w:rsidRPr="009F4842">
        <w:rPr>
          <w:rFonts w:ascii="Arial" w:hAnsi="Arial" w:cs="Arial"/>
          <w:b/>
          <w:bCs/>
        </w:rPr>
        <w:lastRenderedPageBreak/>
        <w:t>Supplemental References:</w:t>
      </w:r>
    </w:p>
    <w:p w14:paraId="1AF2F417" w14:textId="77777777" w:rsidR="009F4842" w:rsidRPr="006838E0" w:rsidRDefault="009F4842" w:rsidP="00E6189E">
      <w:pPr>
        <w:pStyle w:val="PlainText"/>
        <w:spacing w:line="480" w:lineRule="auto"/>
        <w:jc w:val="both"/>
        <w:rPr>
          <w:rFonts w:ascii="Arial" w:hAnsi="Arial" w:cs="Arial"/>
          <w:sz w:val="22"/>
          <w:szCs w:val="22"/>
        </w:rPr>
      </w:pPr>
      <w:r w:rsidRPr="006838E0">
        <w:rPr>
          <w:rFonts w:ascii="Arial" w:hAnsi="Arial" w:cs="Arial"/>
          <w:sz w:val="22"/>
          <w:szCs w:val="22"/>
        </w:rPr>
        <w:t xml:space="preserve">1. </w:t>
      </w:r>
      <w:proofErr w:type="spellStart"/>
      <w:r w:rsidRPr="006838E0">
        <w:rPr>
          <w:rFonts w:ascii="Arial" w:hAnsi="Arial" w:cs="Arial"/>
          <w:sz w:val="22"/>
          <w:szCs w:val="22"/>
        </w:rPr>
        <w:t>Engström</w:t>
      </w:r>
      <w:proofErr w:type="spellEnd"/>
      <w:r w:rsidRPr="006838E0">
        <w:rPr>
          <w:rFonts w:ascii="Arial" w:hAnsi="Arial" w:cs="Arial"/>
          <w:sz w:val="22"/>
          <w:szCs w:val="22"/>
        </w:rPr>
        <w:t xml:space="preserve"> K, </w:t>
      </w:r>
      <w:proofErr w:type="spellStart"/>
      <w:r w:rsidRPr="006838E0">
        <w:rPr>
          <w:rFonts w:ascii="Arial" w:hAnsi="Arial" w:cs="Arial"/>
          <w:sz w:val="22"/>
          <w:szCs w:val="22"/>
        </w:rPr>
        <w:t>Willén</w:t>
      </w:r>
      <w:proofErr w:type="spellEnd"/>
      <w:r w:rsidRPr="006838E0">
        <w:rPr>
          <w:rFonts w:ascii="Arial" w:hAnsi="Arial" w:cs="Arial"/>
          <w:sz w:val="22"/>
          <w:szCs w:val="22"/>
        </w:rPr>
        <w:t xml:space="preserve"> H, </w:t>
      </w:r>
      <w:proofErr w:type="spellStart"/>
      <w:r w:rsidRPr="006838E0">
        <w:rPr>
          <w:rFonts w:ascii="Arial" w:hAnsi="Arial" w:cs="Arial"/>
          <w:sz w:val="22"/>
          <w:szCs w:val="22"/>
        </w:rPr>
        <w:t>Kåbjön</w:t>
      </w:r>
      <w:proofErr w:type="spellEnd"/>
      <w:r w:rsidRPr="006838E0">
        <w:rPr>
          <w:rFonts w:ascii="Arial" w:hAnsi="Arial" w:cs="Arial"/>
          <w:sz w:val="22"/>
          <w:szCs w:val="22"/>
        </w:rPr>
        <w:t xml:space="preserve">-Gustafsson C, Andersson C, Olsson M, </w:t>
      </w:r>
      <w:proofErr w:type="spellStart"/>
      <w:r w:rsidRPr="006838E0">
        <w:rPr>
          <w:rFonts w:ascii="Arial" w:hAnsi="Arial" w:cs="Arial"/>
          <w:sz w:val="22"/>
          <w:szCs w:val="22"/>
        </w:rPr>
        <w:t>Göransson</w:t>
      </w:r>
      <w:proofErr w:type="spellEnd"/>
      <w:r w:rsidRPr="006838E0">
        <w:rPr>
          <w:rFonts w:ascii="Arial" w:hAnsi="Arial" w:cs="Arial"/>
          <w:sz w:val="22"/>
          <w:szCs w:val="22"/>
        </w:rPr>
        <w:t xml:space="preserve"> M, </w:t>
      </w:r>
      <w:proofErr w:type="spellStart"/>
      <w:r w:rsidRPr="006838E0">
        <w:rPr>
          <w:rFonts w:ascii="Arial" w:hAnsi="Arial" w:cs="Arial"/>
          <w:sz w:val="22"/>
          <w:szCs w:val="22"/>
        </w:rPr>
        <w:t>Järnum</w:t>
      </w:r>
      <w:proofErr w:type="spellEnd"/>
      <w:r w:rsidRPr="006838E0">
        <w:rPr>
          <w:rFonts w:ascii="Arial" w:hAnsi="Arial" w:cs="Arial"/>
          <w:sz w:val="22"/>
          <w:szCs w:val="22"/>
        </w:rPr>
        <w:t xml:space="preserve"> S, </w:t>
      </w:r>
      <w:proofErr w:type="spellStart"/>
      <w:r w:rsidRPr="006838E0">
        <w:rPr>
          <w:rFonts w:ascii="Arial" w:hAnsi="Arial" w:cs="Arial"/>
          <w:sz w:val="22"/>
          <w:szCs w:val="22"/>
        </w:rPr>
        <w:t>Olofsson</w:t>
      </w:r>
      <w:proofErr w:type="spellEnd"/>
      <w:r w:rsidRPr="006838E0">
        <w:rPr>
          <w:rFonts w:ascii="Arial" w:hAnsi="Arial" w:cs="Arial"/>
          <w:sz w:val="22"/>
          <w:szCs w:val="22"/>
        </w:rPr>
        <w:t xml:space="preserve"> A, </w:t>
      </w:r>
      <w:proofErr w:type="spellStart"/>
      <w:r w:rsidRPr="006838E0">
        <w:rPr>
          <w:rFonts w:ascii="Arial" w:hAnsi="Arial" w:cs="Arial"/>
          <w:sz w:val="22"/>
          <w:szCs w:val="22"/>
        </w:rPr>
        <w:t>Warnhammar</w:t>
      </w:r>
      <w:proofErr w:type="spellEnd"/>
      <w:r w:rsidRPr="006838E0">
        <w:rPr>
          <w:rFonts w:ascii="Arial" w:hAnsi="Arial" w:cs="Arial"/>
          <w:sz w:val="22"/>
          <w:szCs w:val="22"/>
        </w:rPr>
        <w:t xml:space="preserve"> E, </w:t>
      </w:r>
      <w:proofErr w:type="spellStart"/>
      <w:r w:rsidRPr="006838E0">
        <w:rPr>
          <w:rFonts w:ascii="Arial" w:hAnsi="Arial" w:cs="Arial"/>
          <w:sz w:val="22"/>
          <w:szCs w:val="22"/>
        </w:rPr>
        <w:t>aman</w:t>
      </w:r>
      <w:proofErr w:type="spellEnd"/>
      <w:r w:rsidRPr="006838E0">
        <w:rPr>
          <w:rFonts w:ascii="Arial" w:hAnsi="Arial" w:cs="Arial"/>
          <w:sz w:val="22"/>
          <w:szCs w:val="22"/>
        </w:rPr>
        <w:t xml:space="preserve"> P. The myxoid/round cell liposarcoma fusion oncogene FUS-DDIT3 and the normal DDIT3 induce a liposarcoma phenotype in transfected human fibrosarcoma cells. Am J </w:t>
      </w:r>
      <w:proofErr w:type="spellStart"/>
      <w:r w:rsidRPr="006838E0">
        <w:rPr>
          <w:rFonts w:ascii="Arial" w:hAnsi="Arial" w:cs="Arial"/>
          <w:sz w:val="22"/>
          <w:szCs w:val="22"/>
        </w:rPr>
        <w:t>Pathol</w:t>
      </w:r>
      <w:proofErr w:type="spellEnd"/>
      <w:r w:rsidRPr="006838E0">
        <w:rPr>
          <w:rFonts w:ascii="Arial" w:hAnsi="Arial" w:cs="Arial"/>
          <w:sz w:val="22"/>
          <w:szCs w:val="22"/>
        </w:rPr>
        <w:t xml:space="preserve">. 2006. 168:1642-53. </w:t>
      </w:r>
    </w:p>
    <w:p w14:paraId="758ADEA9" w14:textId="77777777" w:rsidR="009F4842" w:rsidRPr="006838E0" w:rsidRDefault="009F4842" w:rsidP="00E6189E">
      <w:pPr>
        <w:spacing w:after="0" w:line="480" w:lineRule="auto"/>
        <w:jc w:val="both"/>
        <w:rPr>
          <w:rFonts w:ascii="Arial" w:hAnsi="Arial" w:cs="Arial"/>
        </w:rPr>
      </w:pPr>
      <w:r w:rsidRPr="006838E0">
        <w:rPr>
          <w:rFonts w:ascii="Arial" w:hAnsi="Arial" w:cs="Arial"/>
        </w:rPr>
        <w:t xml:space="preserve">2. Johnston IM, Spence HJ, Winnie JN, McGarry L, Vass JK, Meagher L, Stapleton G, </w:t>
      </w:r>
      <w:proofErr w:type="spellStart"/>
      <w:r w:rsidRPr="006838E0">
        <w:rPr>
          <w:rFonts w:ascii="Arial" w:hAnsi="Arial" w:cs="Arial"/>
        </w:rPr>
        <w:t>Ozanne</w:t>
      </w:r>
      <w:proofErr w:type="spellEnd"/>
      <w:r w:rsidRPr="006838E0">
        <w:rPr>
          <w:rFonts w:ascii="Arial" w:hAnsi="Arial" w:cs="Arial"/>
        </w:rPr>
        <w:t xml:space="preserve"> BW. Regulation of a multigenic invasion </w:t>
      </w:r>
      <w:proofErr w:type="spellStart"/>
      <w:r w:rsidRPr="006838E0">
        <w:rPr>
          <w:rFonts w:ascii="Arial" w:hAnsi="Arial" w:cs="Arial"/>
        </w:rPr>
        <w:t>programme</w:t>
      </w:r>
      <w:proofErr w:type="spellEnd"/>
      <w:r w:rsidRPr="006838E0">
        <w:rPr>
          <w:rFonts w:ascii="Arial" w:hAnsi="Arial" w:cs="Arial"/>
        </w:rPr>
        <w:t xml:space="preserve"> by the transcription factor, AP-1: re-expression of a down-regulated gene, TSC-36, inhibits invasion. Oncogene. 2000. 19:5348-58</w:t>
      </w:r>
    </w:p>
    <w:p w14:paraId="6B8CDE19" w14:textId="77777777" w:rsidR="009F4842" w:rsidRPr="006838E0" w:rsidRDefault="009F4842" w:rsidP="00E6189E">
      <w:pPr>
        <w:widowControl w:val="0"/>
        <w:autoSpaceDE w:val="0"/>
        <w:autoSpaceDN w:val="0"/>
        <w:adjustRightInd w:val="0"/>
        <w:spacing w:after="0" w:line="480" w:lineRule="auto"/>
        <w:jc w:val="both"/>
        <w:rPr>
          <w:rFonts w:ascii="Arial" w:hAnsi="Arial" w:cs="Arial"/>
          <w:noProof/>
        </w:rPr>
      </w:pPr>
      <w:r w:rsidRPr="006838E0">
        <w:rPr>
          <w:rFonts w:ascii="Arial" w:hAnsi="Arial" w:cs="Arial"/>
          <w:noProof/>
        </w:rPr>
        <w:t xml:space="preserve">3. Adamopoulos, C., Piperi, C., Gargalionis, A. N., Dalagiorgou, G., Spilioti, E., Korkolopoulou, P., … Papavassiliou, A. G. (2016). Advanced glycation end products upregulate lysyl oxidase and endothelin-1 in human aortic endothelial cells via parallel activation of ERK1/2-NF-κB and JNK-AP-1 signaling pathways. </w:t>
      </w:r>
      <w:r w:rsidRPr="006838E0">
        <w:rPr>
          <w:rFonts w:ascii="Arial" w:hAnsi="Arial" w:cs="Arial"/>
          <w:i/>
          <w:iCs/>
          <w:noProof/>
        </w:rPr>
        <w:t>Cellular and Molecular Life Sciences</w:t>
      </w:r>
      <w:r w:rsidRPr="006838E0">
        <w:rPr>
          <w:rFonts w:ascii="Arial" w:hAnsi="Arial" w:cs="Arial"/>
          <w:noProof/>
        </w:rPr>
        <w:t xml:space="preserve">, </w:t>
      </w:r>
      <w:r w:rsidRPr="006838E0">
        <w:rPr>
          <w:rFonts w:ascii="Arial" w:hAnsi="Arial" w:cs="Arial"/>
          <w:i/>
          <w:iCs/>
          <w:noProof/>
        </w:rPr>
        <w:t>73</w:t>
      </w:r>
      <w:r w:rsidRPr="006838E0">
        <w:rPr>
          <w:rFonts w:ascii="Arial" w:hAnsi="Arial" w:cs="Arial"/>
          <w:noProof/>
        </w:rPr>
        <w:t xml:space="preserve">(8), 1685–1698. </w:t>
      </w:r>
    </w:p>
    <w:p w14:paraId="163143B8" w14:textId="77777777" w:rsidR="009F4842" w:rsidRPr="006838E0" w:rsidRDefault="009F4842" w:rsidP="00E6189E">
      <w:pPr>
        <w:widowControl w:val="0"/>
        <w:autoSpaceDE w:val="0"/>
        <w:autoSpaceDN w:val="0"/>
        <w:adjustRightInd w:val="0"/>
        <w:spacing w:after="0" w:line="480" w:lineRule="auto"/>
        <w:jc w:val="both"/>
        <w:rPr>
          <w:rFonts w:ascii="Arial" w:hAnsi="Arial" w:cs="Arial"/>
          <w:noProof/>
        </w:rPr>
      </w:pPr>
      <w:r w:rsidRPr="006838E0">
        <w:rPr>
          <w:rFonts w:ascii="Arial" w:hAnsi="Arial" w:cs="Arial"/>
          <w:noProof/>
        </w:rPr>
        <w:t xml:space="preserve">4. Tenti, P., &amp; Vannucci, L. (2020, February 1). Lysyl oxidases: linking structures and immunity in the tumor microenvironment. </w:t>
      </w:r>
      <w:r w:rsidRPr="006838E0">
        <w:rPr>
          <w:rFonts w:ascii="Arial" w:hAnsi="Arial" w:cs="Arial"/>
          <w:i/>
          <w:iCs/>
          <w:noProof/>
        </w:rPr>
        <w:t>Cancer Immunology, Immunotherapy</w:t>
      </w:r>
      <w:r w:rsidRPr="006838E0">
        <w:rPr>
          <w:rFonts w:ascii="Arial" w:hAnsi="Arial" w:cs="Arial"/>
          <w:noProof/>
        </w:rPr>
        <w:t xml:space="preserve">. Springer. </w:t>
      </w:r>
    </w:p>
    <w:p w14:paraId="7AFFAD33" w14:textId="77777777" w:rsidR="009F4842" w:rsidRPr="006838E0" w:rsidRDefault="009F4842" w:rsidP="00E6189E">
      <w:pPr>
        <w:spacing w:after="0" w:line="480" w:lineRule="auto"/>
        <w:jc w:val="both"/>
        <w:rPr>
          <w:rFonts w:ascii="Arial" w:hAnsi="Arial" w:cs="Arial"/>
        </w:rPr>
      </w:pPr>
      <w:r w:rsidRPr="006838E0">
        <w:rPr>
          <w:rFonts w:ascii="Arial" w:hAnsi="Arial" w:cs="Arial"/>
        </w:rPr>
        <w:t xml:space="preserve">5. O'Connell BC, Cheung AF, </w:t>
      </w:r>
      <w:proofErr w:type="spellStart"/>
      <w:r w:rsidRPr="006838E0">
        <w:rPr>
          <w:rFonts w:ascii="Arial" w:hAnsi="Arial" w:cs="Arial"/>
        </w:rPr>
        <w:t>Simkevich</w:t>
      </w:r>
      <w:proofErr w:type="spellEnd"/>
      <w:r w:rsidRPr="006838E0">
        <w:rPr>
          <w:rFonts w:ascii="Arial" w:hAnsi="Arial" w:cs="Arial"/>
        </w:rPr>
        <w:t xml:space="preserve"> CP, Tam W, Ren X, </w:t>
      </w:r>
      <w:proofErr w:type="spellStart"/>
      <w:r w:rsidRPr="006838E0">
        <w:rPr>
          <w:rFonts w:ascii="Arial" w:hAnsi="Arial" w:cs="Arial"/>
        </w:rPr>
        <w:t>Mateyak</w:t>
      </w:r>
      <w:proofErr w:type="spellEnd"/>
      <w:r w:rsidRPr="006838E0">
        <w:rPr>
          <w:rFonts w:ascii="Arial" w:hAnsi="Arial" w:cs="Arial"/>
        </w:rPr>
        <w:t xml:space="preserve"> MK, </w:t>
      </w:r>
      <w:proofErr w:type="spellStart"/>
      <w:r w:rsidRPr="006838E0">
        <w:rPr>
          <w:rFonts w:ascii="Arial" w:hAnsi="Arial" w:cs="Arial"/>
        </w:rPr>
        <w:t>Sedivy</w:t>
      </w:r>
      <w:proofErr w:type="spellEnd"/>
      <w:r w:rsidRPr="006838E0">
        <w:rPr>
          <w:rFonts w:ascii="Arial" w:hAnsi="Arial" w:cs="Arial"/>
        </w:rPr>
        <w:t xml:space="preserve"> JM. A </w:t>
      </w:r>
      <w:proofErr w:type="gramStart"/>
      <w:r w:rsidRPr="006838E0">
        <w:rPr>
          <w:rFonts w:ascii="Arial" w:hAnsi="Arial" w:cs="Arial"/>
        </w:rPr>
        <w:t>large scale</w:t>
      </w:r>
      <w:proofErr w:type="gramEnd"/>
      <w:r w:rsidRPr="006838E0">
        <w:rPr>
          <w:rFonts w:ascii="Arial" w:hAnsi="Arial" w:cs="Arial"/>
        </w:rPr>
        <w:t xml:space="preserve"> genetic analysis of c-</w:t>
      </w:r>
      <w:proofErr w:type="spellStart"/>
      <w:r w:rsidRPr="006838E0">
        <w:rPr>
          <w:rFonts w:ascii="Arial" w:hAnsi="Arial" w:cs="Arial"/>
        </w:rPr>
        <w:t>Myc</w:t>
      </w:r>
      <w:proofErr w:type="spellEnd"/>
      <w:r w:rsidRPr="006838E0">
        <w:rPr>
          <w:rFonts w:ascii="Arial" w:hAnsi="Arial" w:cs="Arial"/>
        </w:rPr>
        <w:t>-regulated gene expression patterns. J Biol Chem. 2003. 278:12563-73.</w:t>
      </w:r>
    </w:p>
    <w:p w14:paraId="3DA4890B" w14:textId="77777777" w:rsidR="009F4842" w:rsidRPr="006838E0" w:rsidRDefault="009F4842" w:rsidP="00E6189E">
      <w:pPr>
        <w:spacing w:after="0" w:line="480" w:lineRule="auto"/>
        <w:jc w:val="both"/>
        <w:rPr>
          <w:rFonts w:ascii="Arial" w:hAnsi="Arial" w:cs="Arial"/>
        </w:rPr>
      </w:pPr>
      <w:r w:rsidRPr="006838E0">
        <w:rPr>
          <w:rFonts w:ascii="Arial" w:hAnsi="Arial" w:cs="Arial"/>
        </w:rPr>
        <w:t xml:space="preserve">6. </w:t>
      </w:r>
      <w:proofErr w:type="spellStart"/>
      <w:r w:rsidRPr="006838E0">
        <w:rPr>
          <w:rFonts w:ascii="Arial" w:hAnsi="Arial" w:cs="Arial"/>
        </w:rPr>
        <w:t>Bogachek</w:t>
      </w:r>
      <w:proofErr w:type="spellEnd"/>
      <w:r w:rsidRPr="006838E0">
        <w:rPr>
          <w:rFonts w:ascii="Arial" w:hAnsi="Arial" w:cs="Arial"/>
        </w:rPr>
        <w:t xml:space="preserve"> MV, Chen Y, Kulak MV, Woodfield GW, Cyr AR, Park JM, </w:t>
      </w:r>
      <w:proofErr w:type="spellStart"/>
      <w:r w:rsidRPr="006838E0">
        <w:rPr>
          <w:rFonts w:ascii="Arial" w:hAnsi="Arial" w:cs="Arial"/>
        </w:rPr>
        <w:t>Spanheimer</w:t>
      </w:r>
      <w:proofErr w:type="spellEnd"/>
      <w:r w:rsidRPr="006838E0">
        <w:rPr>
          <w:rFonts w:ascii="Arial" w:hAnsi="Arial" w:cs="Arial"/>
        </w:rPr>
        <w:t xml:space="preserve"> PM, Li Y, Li T, Weigel RJ. </w:t>
      </w:r>
      <w:proofErr w:type="spellStart"/>
      <w:r w:rsidRPr="006838E0">
        <w:rPr>
          <w:rFonts w:ascii="Arial" w:hAnsi="Arial" w:cs="Arial"/>
        </w:rPr>
        <w:t>Sumoylation</w:t>
      </w:r>
      <w:proofErr w:type="spellEnd"/>
      <w:r w:rsidRPr="006838E0">
        <w:rPr>
          <w:rFonts w:ascii="Arial" w:hAnsi="Arial" w:cs="Arial"/>
        </w:rPr>
        <w:t xml:space="preserve"> pathway is required to maintain the basal breast cancer subtype. Cancer Cell. 2014. 25:748-61. </w:t>
      </w:r>
    </w:p>
    <w:p w14:paraId="6C2A4D3A" w14:textId="77777777" w:rsidR="009F4842" w:rsidRPr="006838E0" w:rsidRDefault="009F4842" w:rsidP="00E6189E">
      <w:pPr>
        <w:pStyle w:val="PlainText"/>
        <w:spacing w:line="480" w:lineRule="auto"/>
        <w:jc w:val="both"/>
        <w:rPr>
          <w:rFonts w:ascii="Arial" w:hAnsi="Arial" w:cs="Arial"/>
          <w:sz w:val="22"/>
          <w:szCs w:val="22"/>
        </w:rPr>
      </w:pPr>
      <w:r w:rsidRPr="006838E0">
        <w:rPr>
          <w:rFonts w:ascii="Arial" w:hAnsi="Arial" w:cs="Arial"/>
          <w:sz w:val="22"/>
          <w:szCs w:val="22"/>
        </w:rPr>
        <w:t xml:space="preserve">7. Cai Y, </w:t>
      </w:r>
      <w:proofErr w:type="spellStart"/>
      <w:r w:rsidRPr="006838E0">
        <w:rPr>
          <w:rFonts w:ascii="Arial" w:hAnsi="Arial" w:cs="Arial"/>
          <w:sz w:val="22"/>
          <w:szCs w:val="22"/>
        </w:rPr>
        <w:t>Balli</w:t>
      </w:r>
      <w:proofErr w:type="spellEnd"/>
      <w:r w:rsidRPr="006838E0">
        <w:rPr>
          <w:rFonts w:ascii="Arial" w:hAnsi="Arial" w:cs="Arial"/>
          <w:sz w:val="22"/>
          <w:szCs w:val="22"/>
        </w:rPr>
        <w:t xml:space="preserve"> D, </w:t>
      </w:r>
      <w:proofErr w:type="spellStart"/>
      <w:r w:rsidRPr="006838E0">
        <w:rPr>
          <w:rFonts w:ascii="Arial" w:hAnsi="Arial" w:cs="Arial"/>
          <w:sz w:val="22"/>
          <w:szCs w:val="22"/>
        </w:rPr>
        <w:t>Ustiyan</w:t>
      </w:r>
      <w:proofErr w:type="spellEnd"/>
      <w:r w:rsidRPr="006838E0">
        <w:rPr>
          <w:rFonts w:ascii="Arial" w:hAnsi="Arial" w:cs="Arial"/>
          <w:sz w:val="22"/>
          <w:szCs w:val="22"/>
        </w:rPr>
        <w:t xml:space="preserve"> V, Fulford L, Hiller A, </w:t>
      </w:r>
      <w:proofErr w:type="spellStart"/>
      <w:r w:rsidRPr="006838E0">
        <w:rPr>
          <w:rFonts w:ascii="Arial" w:hAnsi="Arial" w:cs="Arial"/>
          <w:sz w:val="22"/>
          <w:szCs w:val="22"/>
        </w:rPr>
        <w:t>Misetic</w:t>
      </w:r>
      <w:proofErr w:type="spellEnd"/>
      <w:r w:rsidRPr="006838E0">
        <w:rPr>
          <w:rFonts w:ascii="Arial" w:hAnsi="Arial" w:cs="Arial"/>
          <w:sz w:val="22"/>
          <w:szCs w:val="22"/>
        </w:rPr>
        <w:t xml:space="preserve"> V, Zhang Y, </w:t>
      </w:r>
      <w:proofErr w:type="spellStart"/>
      <w:r w:rsidRPr="006838E0">
        <w:rPr>
          <w:rFonts w:ascii="Arial" w:hAnsi="Arial" w:cs="Arial"/>
          <w:sz w:val="22"/>
          <w:szCs w:val="22"/>
        </w:rPr>
        <w:t>Paluch</w:t>
      </w:r>
      <w:proofErr w:type="spellEnd"/>
      <w:r w:rsidRPr="006838E0">
        <w:rPr>
          <w:rFonts w:ascii="Arial" w:hAnsi="Arial" w:cs="Arial"/>
          <w:sz w:val="22"/>
          <w:szCs w:val="22"/>
        </w:rPr>
        <w:t xml:space="preserve"> AM, Waltz SE, Kasper S, Kalin TV. Foxm1 expression in prostate epithelial cells is essential for prostate carcinogenesis. J Biol Chem. 2013. 288:22527-41. </w:t>
      </w:r>
    </w:p>
    <w:p w14:paraId="2DE188EE" w14:textId="77777777" w:rsidR="009F4842" w:rsidRPr="006838E0" w:rsidRDefault="009F4842" w:rsidP="00E6189E">
      <w:pPr>
        <w:pStyle w:val="PlainText"/>
        <w:spacing w:line="480" w:lineRule="auto"/>
        <w:jc w:val="both"/>
        <w:rPr>
          <w:rFonts w:ascii="Arial" w:hAnsi="Arial" w:cs="Arial"/>
          <w:sz w:val="22"/>
          <w:szCs w:val="22"/>
        </w:rPr>
      </w:pPr>
      <w:r w:rsidRPr="006838E0">
        <w:rPr>
          <w:rFonts w:ascii="Arial" w:hAnsi="Arial" w:cs="Arial"/>
          <w:sz w:val="22"/>
          <w:szCs w:val="22"/>
        </w:rPr>
        <w:t xml:space="preserve">8. Park HJ, </w:t>
      </w:r>
      <w:proofErr w:type="spellStart"/>
      <w:r w:rsidRPr="006838E0">
        <w:rPr>
          <w:rFonts w:ascii="Arial" w:hAnsi="Arial" w:cs="Arial"/>
          <w:sz w:val="22"/>
          <w:szCs w:val="22"/>
        </w:rPr>
        <w:t>Gusarova</w:t>
      </w:r>
      <w:proofErr w:type="spellEnd"/>
      <w:r w:rsidRPr="006838E0">
        <w:rPr>
          <w:rFonts w:ascii="Arial" w:hAnsi="Arial" w:cs="Arial"/>
          <w:sz w:val="22"/>
          <w:szCs w:val="22"/>
        </w:rPr>
        <w:t xml:space="preserve"> G, Wang Z, </w:t>
      </w:r>
      <w:proofErr w:type="spellStart"/>
      <w:r w:rsidRPr="006838E0">
        <w:rPr>
          <w:rFonts w:ascii="Arial" w:hAnsi="Arial" w:cs="Arial"/>
          <w:sz w:val="22"/>
          <w:szCs w:val="22"/>
        </w:rPr>
        <w:t>Carr</w:t>
      </w:r>
      <w:proofErr w:type="spellEnd"/>
      <w:r w:rsidRPr="006838E0">
        <w:rPr>
          <w:rFonts w:ascii="Arial" w:hAnsi="Arial" w:cs="Arial"/>
          <w:sz w:val="22"/>
          <w:szCs w:val="22"/>
        </w:rPr>
        <w:t xml:space="preserve"> JR, Li J, Kim KH, </w:t>
      </w:r>
      <w:proofErr w:type="spellStart"/>
      <w:r w:rsidRPr="006838E0">
        <w:rPr>
          <w:rFonts w:ascii="Arial" w:hAnsi="Arial" w:cs="Arial"/>
          <w:sz w:val="22"/>
          <w:szCs w:val="22"/>
        </w:rPr>
        <w:t>Qiu</w:t>
      </w:r>
      <w:proofErr w:type="spellEnd"/>
      <w:r w:rsidRPr="006838E0">
        <w:rPr>
          <w:rFonts w:ascii="Arial" w:hAnsi="Arial" w:cs="Arial"/>
          <w:sz w:val="22"/>
          <w:szCs w:val="22"/>
        </w:rPr>
        <w:t xml:space="preserve"> J, Park YD, Williamson PR, Hay N, Tyner AL, Lau LF, Costa RH, Raychaudhuri P. Deregulation of FoxM1b leads to </w:t>
      </w:r>
      <w:proofErr w:type="spellStart"/>
      <w:r w:rsidRPr="006838E0">
        <w:rPr>
          <w:rFonts w:ascii="Arial" w:hAnsi="Arial" w:cs="Arial"/>
          <w:sz w:val="22"/>
          <w:szCs w:val="22"/>
        </w:rPr>
        <w:t>tumour</w:t>
      </w:r>
      <w:proofErr w:type="spellEnd"/>
      <w:r w:rsidRPr="006838E0">
        <w:rPr>
          <w:rFonts w:ascii="Arial" w:hAnsi="Arial" w:cs="Arial"/>
          <w:sz w:val="22"/>
          <w:szCs w:val="22"/>
        </w:rPr>
        <w:t xml:space="preserve"> metastasis. EMBO Mol Med. 2011. 3:21-34. </w:t>
      </w:r>
    </w:p>
    <w:p w14:paraId="404EEACD" w14:textId="77777777" w:rsidR="009F4842" w:rsidRPr="006838E0" w:rsidRDefault="009F4842" w:rsidP="00E6189E">
      <w:pPr>
        <w:pStyle w:val="PlainText"/>
        <w:spacing w:line="480" w:lineRule="auto"/>
        <w:jc w:val="both"/>
        <w:rPr>
          <w:rFonts w:ascii="Arial" w:hAnsi="Arial" w:cs="Arial"/>
          <w:sz w:val="22"/>
          <w:szCs w:val="22"/>
        </w:rPr>
      </w:pPr>
      <w:r w:rsidRPr="006838E0">
        <w:rPr>
          <w:rFonts w:ascii="Arial" w:hAnsi="Arial" w:cs="Arial"/>
          <w:sz w:val="22"/>
          <w:szCs w:val="22"/>
        </w:rPr>
        <w:lastRenderedPageBreak/>
        <w:t xml:space="preserve">9. Wang V, Davis DA, Haque M, Huang LE, </w:t>
      </w:r>
      <w:proofErr w:type="spellStart"/>
      <w:r w:rsidRPr="006838E0">
        <w:rPr>
          <w:rFonts w:ascii="Arial" w:hAnsi="Arial" w:cs="Arial"/>
          <w:sz w:val="22"/>
          <w:szCs w:val="22"/>
        </w:rPr>
        <w:t>Yarchoan</w:t>
      </w:r>
      <w:proofErr w:type="spellEnd"/>
      <w:r w:rsidRPr="006838E0">
        <w:rPr>
          <w:rFonts w:ascii="Arial" w:hAnsi="Arial" w:cs="Arial"/>
          <w:sz w:val="22"/>
          <w:szCs w:val="22"/>
        </w:rPr>
        <w:t xml:space="preserve"> R. Differential gene up-regulation by hypoxia-inducible factor-1alpha and hypoxia-inducible factor-2alpha in HEK293T cells. Cancer Res. 2005. 65:3299-306. </w:t>
      </w:r>
    </w:p>
    <w:p w14:paraId="2E929A3B" w14:textId="77777777" w:rsidR="009F4842" w:rsidRPr="006838E0" w:rsidRDefault="009F4842" w:rsidP="00E6189E">
      <w:pPr>
        <w:pStyle w:val="PlainText"/>
        <w:spacing w:line="480" w:lineRule="auto"/>
        <w:jc w:val="both"/>
        <w:rPr>
          <w:rFonts w:ascii="Arial" w:hAnsi="Arial" w:cs="Arial"/>
          <w:sz w:val="22"/>
          <w:szCs w:val="22"/>
        </w:rPr>
      </w:pPr>
      <w:r w:rsidRPr="006838E0">
        <w:rPr>
          <w:rFonts w:ascii="Arial" w:hAnsi="Arial" w:cs="Arial"/>
          <w:sz w:val="22"/>
          <w:szCs w:val="22"/>
        </w:rPr>
        <w:t xml:space="preserve">10. </w:t>
      </w:r>
      <w:proofErr w:type="spellStart"/>
      <w:r w:rsidRPr="006838E0">
        <w:rPr>
          <w:rFonts w:ascii="Arial" w:hAnsi="Arial" w:cs="Arial"/>
          <w:sz w:val="22"/>
          <w:szCs w:val="22"/>
        </w:rPr>
        <w:t>Elvidge</w:t>
      </w:r>
      <w:proofErr w:type="spellEnd"/>
      <w:r w:rsidRPr="006838E0">
        <w:rPr>
          <w:rFonts w:ascii="Arial" w:hAnsi="Arial" w:cs="Arial"/>
          <w:sz w:val="22"/>
          <w:szCs w:val="22"/>
        </w:rPr>
        <w:t xml:space="preserve"> GP, Glenny L, </w:t>
      </w:r>
      <w:proofErr w:type="spellStart"/>
      <w:r w:rsidRPr="006838E0">
        <w:rPr>
          <w:rFonts w:ascii="Arial" w:hAnsi="Arial" w:cs="Arial"/>
          <w:sz w:val="22"/>
          <w:szCs w:val="22"/>
        </w:rPr>
        <w:t>Appelhoff</w:t>
      </w:r>
      <w:proofErr w:type="spellEnd"/>
      <w:r w:rsidRPr="006838E0">
        <w:rPr>
          <w:rFonts w:ascii="Arial" w:hAnsi="Arial" w:cs="Arial"/>
          <w:sz w:val="22"/>
          <w:szCs w:val="22"/>
        </w:rPr>
        <w:t xml:space="preserve"> RJ, Ratcliffe PJ, </w:t>
      </w:r>
      <w:proofErr w:type="spellStart"/>
      <w:r w:rsidRPr="006838E0">
        <w:rPr>
          <w:rFonts w:ascii="Arial" w:hAnsi="Arial" w:cs="Arial"/>
          <w:sz w:val="22"/>
          <w:szCs w:val="22"/>
        </w:rPr>
        <w:t>Ragoussis</w:t>
      </w:r>
      <w:proofErr w:type="spellEnd"/>
      <w:r w:rsidRPr="006838E0">
        <w:rPr>
          <w:rFonts w:ascii="Arial" w:hAnsi="Arial" w:cs="Arial"/>
          <w:sz w:val="22"/>
          <w:szCs w:val="22"/>
        </w:rPr>
        <w:t xml:space="preserve"> J, Gleadle JM. Concordant regulation of gene expression by hypoxia and 2-oxoglutarate-dependent dioxygenase inhibition: the role of HIF-1alpha, HIF-2alpha, and other pathways. J Biol Chem. 2006. 281:15215-26. </w:t>
      </w:r>
    </w:p>
    <w:p w14:paraId="4933A884" w14:textId="77777777" w:rsidR="009F4842" w:rsidRPr="006838E0" w:rsidRDefault="009F4842" w:rsidP="00E6189E">
      <w:pPr>
        <w:pStyle w:val="PlainText"/>
        <w:spacing w:line="480" w:lineRule="auto"/>
        <w:jc w:val="both"/>
        <w:rPr>
          <w:rFonts w:ascii="Arial" w:hAnsi="Arial" w:cs="Arial"/>
          <w:sz w:val="22"/>
          <w:szCs w:val="22"/>
        </w:rPr>
      </w:pPr>
      <w:r w:rsidRPr="006838E0">
        <w:rPr>
          <w:rFonts w:ascii="Arial" w:hAnsi="Arial" w:cs="Arial"/>
          <w:sz w:val="22"/>
          <w:szCs w:val="22"/>
        </w:rPr>
        <w:t xml:space="preserve">11. </w:t>
      </w:r>
      <w:proofErr w:type="spellStart"/>
      <w:r w:rsidRPr="006838E0">
        <w:rPr>
          <w:rFonts w:ascii="Arial" w:hAnsi="Arial" w:cs="Arial"/>
          <w:sz w:val="22"/>
          <w:szCs w:val="22"/>
        </w:rPr>
        <w:t>Schietke</w:t>
      </w:r>
      <w:proofErr w:type="spellEnd"/>
      <w:r w:rsidRPr="006838E0">
        <w:rPr>
          <w:rFonts w:ascii="Arial" w:hAnsi="Arial" w:cs="Arial"/>
          <w:sz w:val="22"/>
          <w:szCs w:val="22"/>
        </w:rPr>
        <w:t xml:space="preserve"> R, </w:t>
      </w:r>
      <w:proofErr w:type="spellStart"/>
      <w:r w:rsidRPr="006838E0">
        <w:rPr>
          <w:rFonts w:ascii="Arial" w:hAnsi="Arial" w:cs="Arial"/>
          <w:sz w:val="22"/>
          <w:szCs w:val="22"/>
        </w:rPr>
        <w:t>Warnecke</w:t>
      </w:r>
      <w:proofErr w:type="spellEnd"/>
      <w:r w:rsidRPr="006838E0">
        <w:rPr>
          <w:rFonts w:ascii="Arial" w:hAnsi="Arial" w:cs="Arial"/>
          <w:sz w:val="22"/>
          <w:szCs w:val="22"/>
        </w:rPr>
        <w:t xml:space="preserve"> C, Wacker I, </w:t>
      </w:r>
      <w:proofErr w:type="spellStart"/>
      <w:r w:rsidRPr="006838E0">
        <w:rPr>
          <w:rFonts w:ascii="Arial" w:hAnsi="Arial" w:cs="Arial"/>
          <w:sz w:val="22"/>
          <w:szCs w:val="22"/>
        </w:rPr>
        <w:t>Schödel</w:t>
      </w:r>
      <w:proofErr w:type="spellEnd"/>
      <w:r w:rsidRPr="006838E0">
        <w:rPr>
          <w:rFonts w:ascii="Arial" w:hAnsi="Arial" w:cs="Arial"/>
          <w:sz w:val="22"/>
          <w:szCs w:val="22"/>
        </w:rPr>
        <w:t xml:space="preserve"> J, Mole DR, </w:t>
      </w:r>
      <w:proofErr w:type="spellStart"/>
      <w:r w:rsidRPr="006838E0">
        <w:rPr>
          <w:rFonts w:ascii="Arial" w:hAnsi="Arial" w:cs="Arial"/>
          <w:sz w:val="22"/>
          <w:szCs w:val="22"/>
        </w:rPr>
        <w:t>Campean</w:t>
      </w:r>
      <w:proofErr w:type="spellEnd"/>
      <w:r w:rsidRPr="006838E0">
        <w:rPr>
          <w:rFonts w:ascii="Arial" w:hAnsi="Arial" w:cs="Arial"/>
          <w:sz w:val="22"/>
          <w:szCs w:val="22"/>
        </w:rPr>
        <w:t xml:space="preserve"> V, Amann K, </w:t>
      </w:r>
      <w:proofErr w:type="spellStart"/>
      <w:r w:rsidRPr="006838E0">
        <w:rPr>
          <w:rFonts w:ascii="Arial" w:hAnsi="Arial" w:cs="Arial"/>
          <w:sz w:val="22"/>
          <w:szCs w:val="22"/>
        </w:rPr>
        <w:t>Goppelt-Struebe</w:t>
      </w:r>
      <w:proofErr w:type="spellEnd"/>
      <w:r w:rsidRPr="006838E0">
        <w:rPr>
          <w:rFonts w:ascii="Arial" w:hAnsi="Arial" w:cs="Arial"/>
          <w:sz w:val="22"/>
          <w:szCs w:val="22"/>
        </w:rPr>
        <w:t xml:space="preserve"> M, Behrens J, </w:t>
      </w:r>
      <w:proofErr w:type="spellStart"/>
      <w:r w:rsidRPr="006838E0">
        <w:rPr>
          <w:rFonts w:ascii="Arial" w:hAnsi="Arial" w:cs="Arial"/>
          <w:sz w:val="22"/>
          <w:szCs w:val="22"/>
        </w:rPr>
        <w:t>Eckardt</w:t>
      </w:r>
      <w:proofErr w:type="spellEnd"/>
      <w:r w:rsidRPr="006838E0">
        <w:rPr>
          <w:rFonts w:ascii="Arial" w:hAnsi="Arial" w:cs="Arial"/>
          <w:sz w:val="22"/>
          <w:szCs w:val="22"/>
        </w:rPr>
        <w:t xml:space="preserve"> KU, </w:t>
      </w:r>
      <w:proofErr w:type="spellStart"/>
      <w:r w:rsidRPr="006838E0">
        <w:rPr>
          <w:rFonts w:ascii="Arial" w:hAnsi="Arial" w:cs="Arial"/>
          <w:sz w:val="22"/>
          <w:szCs w:val="22"/>
        </w:rPr>
        <w:t>Wiesener</w:t>
      </w:r>
      <w:proofErr w:type="spellEnd"/>
      <w:r w:rsidRPr="006838E0">
        <w:rPr>
          <w:rFonts w:ascii="Arial" w:hAnsi="Arial" w:cs="Arial"/>
          <w:sz w:val="22"/>
          <w:szCs w:val="22"/>
        </w:rPr>
        <w:t xml:space="preserve"> MS. The </w:t>
      </w:r>
      <w:proofErr w:type="spellStart"/>
      <w:r w:rsidRPr="006838E0">
        <w:rPr>
          <w:rFonts w:ascii="Arial" w:hAnsi="Arial" w:cs="Arial"/>
          <w:sz w:val="22"/>
          <w:szCs w:val="22"/>
        </w:rPr>
        <w:t>lysyl</w:t>
      </w:r>
      <w:proofErr w:type="spellEnd"/>
      <w:r w:rsidRPr="006838E0">
        <w:rPr>
          <w:rFonts w:ascii="Arial" w:hAnsi="Arial" w:cs="Arial"/>
          <w:sz w:val="22"/>
          <w:szCs w:val="22"/>
        </w:rPr>
        <w:t xml:space="preserve"> oxidases LOX and LOXL2 are necessary and sufficient to repress E-cadherin in hypoxia: insights into cellular transformation processes mediated by HIF-1. J Biol Chem. 2010. 285:6658-69. </w:t>
      </w:r>
    </w:p>
    <w:p w14:paraId="5DD4BD0C" w14:textId="77777777" w:rsidR="009F4842" w:rsidRPr="006838E0" w:rsidRDefault="009F4842" w:rsidP="00E6189E">
      <w:pPr>
        <w:pStyle w:val="PlainText"/>
        <w:spacing w:line="480" w:lineRule="auto"/>
        <w:jc w:val="both"/>
        <w:rPr>
          <w:rFonts w:ascii="Arial" w:hAnsi="Arial" w:cs="Arial"/>
          <w:sz w:val="22"/>
          <w:szCs w:val="22"/>
        </w:rPr>
      </w:pPr>
      <w:r w:rsidRPr="006838E0">
        <w:rPr>
          <w:rFonts w:ascii="Arial" w:hAnsi="Arial" w:cs="Arial"/>
          <w:sz w:val="22"/>
          <w:szCs w:val="22"/>
        </w:rPr>
        <w:t xml:space="preserve">12. </w:t>
      </w:r>
      <w:proofErr w:type="spellStart"/>
      <w:r w:rsidRPr="006838E0">
        <w:rPr>
          <w:rFonts w:ascii="Arial" w:hAnsi="Arial" w:cs="Arial"/>
          <w:sz w:val="22"/>
          <w:szCs w:val="22"/>
        </w:rPr>
        <w:t>Pawlus</w:t>
      </w:r>
      <w:proofErr w:type="spellEnd"/>
      <w:r w:rsidRPr="006838E0">
        <w:rPr>
          <w:rFonts w:ascii="Arial" w:hAnsi="Arial" w:cs="Arial"/>
          <w:sz w:val="22"/>
          <w:szCs w:val="22"/>
        </w:rPr>
        <w:t xml:space="preserve"> MR, Wang L, Hu CJ. STAT3 and HIF1</w:t>
      </w:r>
      <w:r w:rsidRPr="006838E0">
        <w:rPr>
          <w:rFonts w:ascii="Arial" w:hAnsi="Arial" w:cs="Arial"/>
          <w:sz w:val="22"/>
          <w:szCs w:val="22"/>
        </w:rPr>
        <w:sym w:font="Symbol" w:char="F061"/>
      </w:r>
      <w:r w:rsidRPr="006838E0">
        <w:rPr>
          <w:rFonts w:ascii="Arial" w:hAnsi="Arial" w:cs="Arial"/>
          <w:sz w:val="22"/>
          <w:szCs w:val="22"/>
        </w:rPr>
        <w:t xml:space="preserve"> cooperatively activate HIF1 target genes in MDA-MB-231 and RCC4 cells. Oncogene. 2014. 33:1670-9. </w:t>
      </w:r>
    </w:p>
    <w:p w14:paraId="4565612E" w14:textId="77777777" w:rsidR="009F4842" w:rsidRPr="006838E0" w:rsidRDefault="009F4842" w:rsidP="00E6189E">
      <w:pPr>
        <w:pStyle w:val="PlainText"/>
        <w:spacing w:line="480" w:lineRule="auto"/>
        <w:jc w:val="both"/>
        <w:rPr>
          <w:rFonts w:ascii="Arial" w:hAnsi="Arial" w:cs="Arial"/>
          <w:sz w:val="22"/>
          <w:szCs w:val="22"/>
        </w:rPr>
      </w:pPr>
      <w:r w:rsidRPr="006838E0">
        <w:rPr>
          <w:rFonts w:ascii="Arial" w:hAnsi="Arial" w:cs="Arial"/>
          <w:sz w:val="22"/>
          <w:szCs w:val="22"/>
        </w:rPr>
        <w:t xml:space="preserve">13. Mathison A, </w:t>
      </w:r>
      <w:proofErr w:type="spellStart"/>
      <w:r w:rsidRPr="006838E0">
        <w:rPr>
          <w:rFonts w:ascii="Arial" w:hAnsi="Arial" w:cs="Arial"/>
          <w:sz w:val="22"/>
          <w:szCs w:val="22"/>
        </w:rPr>
        <w:t>Grzenda</w:t>
      </w:r>
      <w:proofErr w:type="spellEnd"/>
      <w:r w:rsidRPr="006838E0">
        <w:rPr>
          <w:rFonts w:ascii="Arial" w:hAnsi="Arial" w:cs="Arial"/>
          <w:sz w:val="22"/>
          <w:szCs w:val="22"/>
        </w:rPr>
        <w:t xml:space="preserve"> A, </w:t>
      </w:r>
      <w:proofErr w:type="spellStart"/>
      <w:r w:rsidRPr="006838E0">
        <w:rPr>
          <w:rFonts w:ascii="Arial" w:hAnsi="Arial" w:cs="Arial"/>
          <w:sz w:val="22"/>
          <w:szCs w:val="22"/>
        </w:rPr>
        <w:t>Lomberk</w:t>
      </w:r>
      <w:proofErr w:type="spellEnd"/>
      <w:r w:rsidRPr="006838E0">
        <w:rPr>
          <w:rFonts w:ascii="Arial" w:hAnsi="Arial" w:cs="Arial"/>
          <w:sz w:val="22"/>
          <w:szCs w:val="22"/>
        </w:rPr>
        <w:t xml:space="preserve"> G, Velez G, Buttar N, </w:t>
      </w:r>
      <w:proofErr w:type="spellStart"/>
      <w:r w:rsidRPr="006838E0">
        <w:rPr>
          <w:rFonts w:ascii="Arial" w:hAnsi="Arial" w:cs="Arial"/>
          <w:sz w:val="22"/>
          <w:szCs w:val="22"/>
        </w:rPr>
        <w:t>Tietz</w:t>
      </w:r>
      <w:proofErr w:type="spellEnd"/>
      <w:r w:rsidRPr="006838E0">
        <w:rPr>
          <w:rFonts w:ascii="Arial" w:hAnsi="Arial" w:cs="Arial"/>
          <w:sz w:val="22"/>
          <w:szCs w:val="22"/>
        </w:rPr>
        <w:t xml:space="preserve"> P, Hendrickson H, </w:t>
      </w:r>
      <w:proofErr w:type="spellStart"/>
      <w:r w:rsidRPr="006838E0">
        <w:rPr>
          <w:rFonts w:ascii="Arial" w:hAnsi="Arial" w:cs="Arial"/>
          <w:sz w:val="22"/>
          <w:szCs w:val="22"/>
        </w:rPr>
        <w:t>Liebl</w:t>
      </w:r>
      <w:proofErr w:type="spellEnd"/>
      <w:r w:rsidRPr="006838E0">
        <w:rPr>
          <w:rFonts w:ascii="Arial" w:hAnsi="Arial" w:cs="Arial"/>
          <w:sz w:val="22"/>
          <w:szCs w:val="22"/>
        </w:rPr>
        <w:t xml:space="preserve"> A, Xiong YY, Gores G, Fernandez-</w:t>
      </w:r>
      <w:proofErr w:type="spellStart"/>
      <w:r w:rsidRPr="006838E0">
        <w:rPr>
          <w:rFonts w:ascii="Arial" w:hAnsi="Arial" w:cs="Arial"/>
          <w:sz w:val="22"/>
          <w:szCs w:val="22"/>
        </w:rPr>
        <w:t>Zapico</w:t>
      </w:r>
      <w:proofErr w:type="spellEnd"/>
      <w:r w:rsidRPr="006838E0">
        <w:rPr>
          <w:rFonts w:ascii="Arial" w:hAnsi="Arial" w:cs="Arial"/>
          <w:sz w:val="22"/>
          <w:szCs w:val="22"/>
        </w:rPr>
        <w:t xml:space="preserve"> M, </w:t>
      </w:r>
      <w:proofErr w:type="spellStart"/>
      <w:r w:rsidRPr="006838E0">
        <w:rPr>
          <w:rFonts w:ascii="Arial" w:hAnsi="Arial" w:cs="Arial"/>
          <w:sz w:val="22"/>
          <w:szCs w:val="22"/>
        </w:rPr>
        <w:t>Larusso</w:t>
      </w:r>
      <w:proofErr w:type="spellEnd"/>
      <w:r w:rsidRPr="006838E0">
        <w:rPr>
          <w:rFonts w:ascii="Arial" w:hAnsi="Arial" w:cs="Arial"/>
          <w:sz w:val="22"/>
          <w:szCs w:val="22"/>
        </w:rPr>
        <w:t xml:space="preserve"> NF, </w:t>
      </w:r>
      <w:proofErr w:type="spellStart"/>
      <w:r w:rsidRPr="006838E0">
        <w:rPr>
          <w:rFonts w:ascii="Arial" w:hAnsi="Arial" w:cs="Arial"/>
          <w:sz w:val="22"/>
          <w:szCs w:val="22"/>
        </w:rPr>
        <w:t>Faubion</w:t>
      </w:r>
      <w:proofErr w:type="spellEnd"/>
      <w:r w:rsidRPr="006838E0">
        <w:rPr>
          <w:rFonts w:ascii="Arial" w:hAnsi="Arial" w:cs="Arial"/>
          <w:sz w:val="22"/>
          <w:szCs w:val="22"/>
        </w:rPr>
        <w:t xml:space="preserve"> W, Shah VH, Urrutia R. Role for </w:t>
      </w:r>
      <w:proofErr w:type="spellStart"/>
      <w:r w:rsidRPr="006838E0">
        <w:rPr>
          <w:rFonts w:ascii="Arial" w:hAnsi="Arial" w:cs="Arial"/>
          <w:sz w:val="22"/>
          <w:szCs w:val="22"/>
        </w:rPr>
        <w:t>Krüppel</w:t>
      </w:r>
      <w:proofErr w:type="spellEnd"/>
      <w:r w:rsidRPr="006838E0">
        <w:rPr>
          <w:rFonts w:ascii="Arial" w:hAnsi="Arial" w:cs="Arial"/>
          <w:sz w:val="22"/>
          <w:szCs w:val="22"/>
        </w:rPr>
        <w:t xml:space="preserve">-like transcription factor 11 in mesenchymal cell function and fibrosis. </w:t>
      </w:r>
      <w:proofErr w:type="spellStart"/>
      <w:r w:rsidRPr="006838E0">
        <w:rPr>
          <w:rFonts w:ascii="Arial" w:hAnsi="Arial" w:cs="Arial"/>
          <w:sz w:val="22"/>
          <w:szCs w:val="22"/>
        </w:rPr>
        <w:t>PLoS</w:t>
      </w:r>
      <w:proofErr w:type="spellEnd"/>
      <w:r w:rsidRPr="006838E0">
        <w:rPr>
          <w:rFonts w:ascii="Arial" w:hAnsi="Arial" w:cs="Arial"/>
          <w:sz w:val="22"/>
          <w:szCs w:val="22"/>
        </w:rPr>
        <w:t xml:space="preserve"> One. 2013. </w:t>
      </w:r>
      <w:proofErr w:type="gramStart"/>
      <w:r w:rsidRPr="006838E0">
        <w:rPr>
          <w:rFonts w:ascii="Arial" w:hAnsi="Arial" w:cs="Arial"/>
          <w:sz w:val="22"/>
          <w:szCs w:val="22"/>
        </w:rPr>
        <w:t>8:e</w:t>
      </w:r>
      <w:proofErr w:type="gramEnd"/>
      <w:r w:rsidRPr="006838E0">
        <w:rPr>
          <w:rFonts w:ascii="Arial" w:hAnsi="Arial" w:cs="Arial"/>
          <w:sz w:val="22"/>
          <w:szCs w:val="22"/>
        </w:rPr>
        <w:t xml:space="preserve">75311. </w:t>
      </w:r>
    </w:p>
    <w:p w14:paraId="5D4E0A29" w14:textId="77777777" w:rsidR="009F4842" w:rsidRPr="006838E0" w:rsidRDefault="009F4842" w:rsidP="00E6189E">
      <w:pPr>
        <w:widowControl w:val="0"/>
        <w:autoSpaceDE w:val="0"/>
        <w:autoSpaceDN w:val="0"/>
        <w:adjustRightInd w:val="0"/>
        <w:spacing w:after="0" w:line="480" w:lineRule="auto"/>
        <w:jc w:val="both"/>
        <w:rPr>
          <w:rFonts w:ascii="Arial" w:hAnsi="Arial" w:cs="Arial"/>
          <w:noProof/>
        </w:rPr>
      </w:pPr>
      <w:r w:rsidRPr="006838E0">
        <w:rPr>
          <w:rFonts w:ascii="Arial" w:hAnsi="Arial" w:cs="Arial"/>
          <w:noProof/>
        </w:rPr>
        <w:t xml:space="preserve">14. Klein EA, Yung Y, Castagnino P, Kothapalli D &amp; Assoian RK. Cell Adhesion, Cellular Tension, and Cell Cycle Control. In </w:t>
      </w:r>
      <w:r w:rsidRPr="006838E0">
        <w:rPr>
          <w:rFonts w:ascii="Arial" w:hAnsi="Arial" w:cs="Arial"/>
          <w:i/>
          <w:iCs/>
          <w:noProof/>
        </w:rPr>
        <w:t>Methods in enzymology</w:t>
      </w:r>
      <w:r w:rsidRPr="006838E0">
        <w:rPr>
          <w:rFonts w:ascii="Arial" w:hAnsi="Arial" w:cs="Arial"/>
          <w:noProof/>
        </w:rPr>
        <w:t xml:space="preserve">. 2007. pp.155–175. </w:t>
      </w:r>
    </w:p>
    <w:p w14:paraId="15E8A8AE" w14:textId="77777777" w:rsidR="009F4842" w:rsidRPr="006838E0" w:rsidRDefault="009F4842" w:rsidP="00E6189E">
      <w:pPr>
        <w:pStyle w:val="PlainText"/>
        <w:spacing w:line="480" w:lineRule="auto"/>
        <w:jc w:val="both"/>
        <w:rPr>
          <w:rFonts w:ascii="Arial" w:hAnsi="Arial" w:cs="Arial"/>
          <w:noProof/>
          <w:sz w:val="22"/>
          <w:szCs w:val="22"/>
        </w:rPr>
      </w:pPr>
      <w:r w:rsidRPr="006838E0">
        <w:rPr>
          <w:rFonts w:ascii="Arial" w:hAnsi="Arial" w:cs="Arial"/>
          <w:noProof/>
          <w:sz w:val="22"/>
          <w:szCs w:val="22"/>
        </w:rPr>
        <w:t xml:space="preserve">15. Brankovic S, Hawthorne EA, Yu X, Zhang Y &amp; Assoian RK. MMP12 preferentially attenuates axial stiffening of aging arteries. </w:t>
      </w:r>
      <w:r w:rsidRPr="006838E0">
        <w:rPr>
          <w:rFonts w:ascii="Arial" w:hAnsi="Arial" w:cs="Arial"/>
          <w:i/>
          <w:iCs/>
          <w:noProof/>
          <w:sz w:val="22"/>
          <w:szCs w:val="22"/>
        </w:rPr>
        <w:t>J. Biomech. Eng.</w:t>
      </w:r>
      <w:r w:rsidRPr="006838E0">
        <w:rPr>
          <w:rFonts w:ascii="Arial" w:hAnsi="Arial" w:cs="Arial"/>
          <w:noProof/>
          <w:sz w:val="22"/>
          <w:szCs w:val="22"/>
        </w:rPr>
        <w:t xml:space="preserve"> 2019. </w:t>
      </w:r>
    </w:p>
    <w:p w14:paraId="14F76613" w14:textId="790BDB29" w:rsidR="005F1AAA" w:rsidRPr="00380867" w:rsidRDefault="009F4842" w:rsidP="00E6189E">
      <w:pPr>
        <w:widowControl w:val="0"/>
        <w:autoSpaceDE w:val="0"/>
        <w:autoSpaceDN w:val="0"/>
        <w:adjustRightInd w:val="0"/>
        <w:spacing w:after="0" w:line="480" w:lineRule="auto"/>
        <w:jc w:val="both"/>
      </w:pPr>
      <w:r w:rsidRPr="006838E0">
        <w:rPr>
          <w:rFonts w:ascii="Arial" w:hAnsi="Arial" w:cs="Arial"/>
          <w:noProof/>
        </w:rPr>
        <w:t xml:space="preserve">16. Cuff CA, Kothapalli D, Azonobi I, Chun S, Zhang Y, Belkin R, Yeh C, Secreto A, Assoian RK, Rader DJ &amp; Puré E. The adhesion receptor CD44 promotes atherosclerosis by mediating inflammatory cell recruitment and vascular cell activation. </w:t>
      </w:r>
      <w:r w:rsidRPr="006838E0">
        <w:rPr>
          <w:rFonts w:ascii="Arial" w:hAnsi="Arial" w:cs="Arial"/>
          <w:i/>
          <w:iCs/>
          <w:noProof/>
        </w:rPr>
        <w:t>J. Clin. Invest.</w:t>
      </w:r>
      <w:r w:rsidRPr="006838E0">
        <w:rPr>
          <w:rFonts w:ascii="Arial" w:hAnsi="Arial" w:cs="Arial"/>
          <w:noProof/>
        </w:rPr>
        <w:t xml:space="preserve"> 2001. 108, 1031–1040.</w:t>
      </w:r>
    </w:p>
    <w:sectPr w:rsidR="005F1AAA" w:rsidRPr="003808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6F7B21" w14:textId="77777777" w:rsidR="00F03421" w:rsidRDefault="00F03421" w:rsidP="00367443">
      <w:pPr>
        <w:spacing w:after="0" w:line="240" w:lineRule="auto"/>
      </w:pPr>
      <w:r>
        <w:separator/>
      </w:r>
    </w:p>
  </w:endnote>
  <w:endnote w:type="continuationSeparator" w:id="0">
    <w:p w14:paraId="3AFE5095" w14:textId="77777777" w:rsidR="00F03421" w:rsidRDefault="00F03421" w:rsidP="00367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C65360" w14:textId="77777777" w:rsidR="00F03421" w:rsidRDefault="00F03421" w:rsidP="00367443">
      <w:pPr>
        <w:spacing w:after="0" w:line="240" w:lineRule="auto"/>
      </w:pPr>
      <w:r>
        <w:separator/>
      </w:r>
    </w:p>
  </w:footnote>
  <w:footnote w:type="continuationSeparator" w:id="0">
    <w:p w14:paraId="6CE88F38" w14:textId="77777777" w:rsidR="00F03421" w:rsidRDefault="00F03421" w:rsidP="003674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443"/>
    <w:rsid w:val="00014482"/>
    <w:rsid w:val="00027CBB"/>
    <w:rsid w:val="00081229"/>
    <w:rsid w:val="00085F9E"/>
    <w:rsid w:val="0009502B"/>
    <w:rsid w:val="000B2A47"/>
    <w:rsid w:val="000B48D3"/>
    <w:rsid w:val="000F2A37"/>
    <w:rsid w:val="000F6A54"/>
    <w:rsid w:val="0014144F"/>
    <w:rsid w:val="00171B54"/>
    <w:rsid w:val="001B3A28"/>
    <w:rsid w:val="001B53E0"/>
    <w:rsid w:val="001C632E"/>
    <w:rsid w:val="001C66EE"/>
    <w:rsid w:val="001D1E76"/>
    <w:rsid w:val="001D3846"/>
    <w:rsid w:val="001D4013"/>
    <w:rsid w:val="001D5CB7"/>
    <w:rsid w:val="001E5730"/>
    <w:rsid w:val="001E6015"/>
    <w:rsid w:val="00216340"/>
    <w:rsid w:val="00250238"/>
    <w:rsid w:val="00260CED"/>
    <w:rsid w:val="00292347"/>
    <w:rsid w:val="002A2442"/>
    <w:rsid w:val="002A476E"/>
    <w:rsid w:val="002A60F4"/>
    <w:rsid w:val="002B0032"/>
    <w:rsid w:val="002E0731"/>
    <w:rsid w:val="002F27A4"/>
    <w:rsid w:val="003072C2"/>
    <w:rsid w:val="00326D33"/>
    <w:rsid w:val="00367443"/>
    <w:rsid w:val="00380867"/>
    <w:rsid w:val="00384090"/>
    <w:rsid w:val="00391C8E"/>
    <w:rsid w:val="00392494"/>
    <w:rsid w:val="003A429C"/>
    <w:rsid w:val="003D3C8E"/>
    <w:rsid w:val="003D48F6"/>
    <w:rsid w:val="003E50CD"/>
    <w:rsid w:val="0044203A"/>
    <w:rsid w:val="00442438"/>
    <w:rsid w:val="00444DA0"/>
    <w:rsid w:val="00447581"/>
    <w:rsid w:val="004927CF"/>
    <w:rsid w:val="004A09FE"/>
    <w:rsid w:val="004A4A76"/>
    <w:rsid w:val="004C2A4A"/>
    <w:rsid w:val="004E12E4"/>
    <w:rsid w:val="004E24C9"/>
    <w:rsid w:val="004F326D"/>
    <w:rsid w:val="004F35CB"/>
    <w:rsid w:val="00502B58"/>
    <w:rsid w:val="00510A3B"/>
    <w:rsid w:val="00525056"/>
    <w:rsid w:val="00527351"/>
    <w:rsid w:val="00560A0A"/>
    <w:rsid w:val="00586392"/>
    <w:rsid w:val="005E607A"/>
    <w:rsid w:val="005F1AAA"/>
    <w:rsid w:val="00604C4B"/>
    <w:rsid w:val="00605C51"/>
    <w:rsid w:val="00632271"/>
    <w:rsid w:val="00656AC9"/>
    <w:rsid w:val="006905BA"/>
    <w:rsid w:val="00694DEE"/>
    <w:rsid w:val="006B46F0"/>
    <w:rsid w:val="006B5F3F"/>
    <w:rsid w:val="006D2144"/>
    <w:rsid w:val="006E387C"/>
    <w:rsid w:val="007109EE"/>
    <w:rsid w:val="007136A4"/>
    <w:rsid w:val="007619AE"/>
    <w:rsid w:val="007634FF"/>
    <w:rsid w:val="0077131A"/>
    <w:rsid w:val="007C21B7"/>
    <w:rsid w:val="007D7849"/>
    <w:rsid w:val="007E2DC8"/>
    <w:rsid w:val="00806215"/>
    <w:rsid w:val="00823CE3"/>
    <w:rsid w:val="0083077B"/>
    <w:rsid w:val="00836C23"/>
    <w:rsid w:val="008678AC"/>
    <w:rsid w:val="00874747"/>
    <w:rsid w:val="008C0022"/>
    <w:rsid w:val="008C0178"/>
    <w:rsid w:val="008C1EF0"/>
    <w:rsid w:val="008C53A8"/>
    <w:rsid w:val="008D3414"/>
    <w:rsid w:val="008D637F"/>
    <w:rsid w:val="008F4EC1"/>
    <w:rsid w:val="00902761"/>
    <w:rsid w:val="00910A0D"/>
    <w:rsid w:val="009117D2"/>
    <w:rsid w:val="00921C33"/>
    <w:rsid w:val="00930628"/>
    <w:rsid w:val="00941B2C"/>
    <w:rsid w:val="0094290D"/>
    <w:rsid w:val="0094618D"/>
    <w:rsid w:val="009514EA"/>
    <w:rsid w:val="0096101B"/>
    <w:rsid w:val="00986864"/>
    <w:rsid w:val="009C3A18"/>
    <w:rsid w:val="009D4C86"/>
    <w:rsid w:val="009F4842"/>
    <w:rsid w:val="00A050F7"/>
    <w:rsid w:val="00A72ED0"/>
    <w:rsid w:val="00A82C67"/>
    <w:rsid w:val="00A86AB8"/>
    <w:rsid w:val="00A943B9"/>
    <w:rsid w:val="00AD267D"/>
    <w:rsid w:val="00B173E6"/>
    <w:rsid w:val="00B2319C"/>
    <w:rsid w:val="00B604A9"/>
    <w:rsid w:val="00BC3DF3"/>
    <w:rsid w:val="00C03BA3"/>
    <w:rsid w:val="00C1284D"/>
    <w:rsid w:val="00C35A7B"/>
    <w:rsid w:val="00C45638"/>
    <w:rsid w:val="00C54073"/>
    <w:rsid w:val="00C600F8"/>
    <w:rsid w:val="00C70862"/>
    <w:rsid w:val="00CC4F4D"/>
    <w:rsid w:val="00CD664B"/>
    <w:rsid w:val="00CD762A"/>
    <w:rsid w:val="00CE5075"/>
    <w:rsid w:val="00CF61BE"/>
    <w:rsid w:val="00D212A1"/>
    <w:rsid w:val="00D3051D"/>
    <w:rsid w:val="00D442E2"/>
    <w:rsid w:val="00D46F1F"/>
    <w:rsid w:val="00D70E77"/>
    <w:rsid w:val="00D74DF3"/>
    <w:rsid w:val="00D8486E"/>
    <w:rsid w:val="00E44A0B"/>
    <w:rsid w:val="00E5275B"/>
    <w:rsid w:val="00E6189E"/>
    <w:rsid w:val="00E749A1"/>
    <w:rsid w:val="00E85E8D"/>
    <w:rsid w:val="00EF2735"/>
    <w:rsid w:val="00F03085"/>
    <w:rsid w:val="00F03421"/>
    <w:rsid w:val="00F228AB"/>
    <w:rsid w:val="00F43471"/>
    <w:rsid w:val="00F440B6"/>
    <w:rsid w:val="00F5015A"/>
    <w:rsid w:val="00F51BB6"/>
    <w:rsid w:val="00F52463"/>
    <w:rsid w:val="00F55D92"/>
    <w:rsid w:val="00F77211"/>
    <w:rsid w:val="00FB06AF"/>
    <w:rsid w:val="00FB3B00"/>
    <w:rsid w:val="00FC7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952BF4"/>
  <w15:chartTrackingRefBased/>
  <w15:docId w15:val="{7FDFB02A-2DD8-4B91-A684-BE8BFBC44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4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67443"/>
    <w:pPr>
      <w:spacing w:before="100" w:beforeAutospacing="1" w:after="100" w:afterAutospacing="1" w:line="240" w:lineRule="auto"/>
    </w:pPr>
    <w:rPr>
      <w:rFonts w:ascii="Times New Roman" w:eastAsiaTheme="minorEastAsia" w:hAnsi="Times New Roman" w:cs="Times New Roman"/>
      <w:sz w:val="20"/>
      <w:szCs w:val="20"/>
    </w:rPr>
  </w:style>
  <w:style w:type="paragraph" w:styleId="Header">
    <w:name w:val="header"/>
    <w:basedOn w:val="Normal"/>
    <w:link w:val="HeaderChar"/>
    <w:uiPriority w:val="99"/>
    <w:unhideWhenUsed/>
    <w:rsid w:val="003674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443"/>
  </w:style>
  <w:style w:type="paragraph" w:styleId="Footer">
    <w:name w:val="footer"/>
    <w:basedOn w:val="Normal"/>
    <w:link w:val="FooterChar"/>
    <w:uiPriority w:val="99"/>
    <w:unhideWhenUsed/>
    <w:rsid w:val="003674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443"/>
  </w:style>
  <w:style w:type="paragraph" w:styleId="BalloonText">
    <w:name w:val="Balloon Text"/>
    <w:basedOn w:val="Normal"/>
    <w:link w:val="BalloonTextChar"/>
    <w:uiPriority w:val="99"/>
    <w:semiHidden/>
    <w:unhideWhenUsed/>
    <w:rsid w:val="00FB3B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B00"/>
    <w:rPr>
      <w:rFonts w:ascii="Segoe UI" w:hAnsi="Segoe UI" w:cs="Segoe UI"/>
      <w:sz w:val="18"/>
      <w:szCs w:val="18"/>
    </w:rPr>
  </w:style>
  <w:style w:type="character" w:styleId="CommentReference">
    <w:name w:val="annotation reference"/>
    <w:basedOn w:val="DefaultParagraphFont"/>
    <w:uiPriority w:val="99"/>
    <w:semiHidden/>
    <w:unhideWhenUsed/>
    <w:rsid w:val="004F326D"/>
    <w:rPr>
      <w:sz w:val="16"/>
      <w:szCs w:val="16"/>
    </w:rPr>
  </w:style>
  <w:style w:type="paragraph" w:styleId="CommentText">
    <w:name w:val="annotation text"/>
    <w:basedOn w:val="Normal"/>
    <w:link w:val="CommentTextChar"/>
    <w:uiPriority w:val="99"/>
    <w:semiHidden/>
    <w:unhideWhenUsed/>
    <w:rsid w:val="004F326D"/>
    <w:pPr>
      <w:spacing w:line="240" w:lineRule="auto"/>
    </w:pPr>
    <w:rPr>
      <w:sz w:val="20"/>
      <w:szCs w:val="20"/>
    </w:rPr>
  </w:style>
  <w:style w:type="character" w:customStyle="1" w:styleId="CommentTextChar">
    <w:name w:val="Comment Text Char"/>
    <w:basedOn w:val="DefaultParagraphFont"/>
    <w:link w:val="CommentText"/>
    <w:uiPriority w:val="99"/>
    <w:semiHidden/>
    <w:rsid w:val="004F326D"/>
    <w:rPr>
      <w:sz w:val="20"/>
      <w:szCs w:val="20"/>
    </w:rPr>
  </w:style>
  <w:style w:type="paragraph" w:styleId="CommentSubject">
    <w:name w:val="annotation subject"/>
    <w:basedOn w:val="CommentText"/>
    <w:next w:val="CommentText"/>
    <w:link w:val="CommentSubjectChar"/>
    <w:uiPriority w:val="99"/>
    <w:semiHidden/>
    <w:unhideWhenUsed/>
    <w:rsid w:val="004F326D"/>
    <w:rPr>
      <w:b/>
      <w:bCs/>
    </w:rPr>
  </w:style>
  <w:style w:type="character" w:customStyle="1" w:styleId="CommentSubjectChar">
    <w:name w:val="Comment Subject Char"/>
    <w:basedOn w:val="CommentTextChar"/>
    <w:link w:val="CommentSubject"/>
    <w:uiPriority w:val="99"/>
    <w:semiHidden/>
    <w:rsid w:val="004F326D"/>
    <w:rPr>
      <w:b/>
      <w:bCs/>
      <w:sz w:val="20"/>
      <w:szCs w:val="20"/>
    </w:rPr>
  </w:style>
  <w:style w:type="paragraph" w:styleId="Revision">
    <w:name w:val="Revision"/>
    <w:hidden/>
    <w:uiPriority w:val="99"/>
    <w:semiHidden/>
    <w:rsid w:val="008F4EC1"/>
    <w:pPr>
      <w:spacing w:after="0" w:line="240" w:lineRule="auto"/>
    </w:pPr>
  </w:style>
  <w:style w:type="paragraph" w:styleId="PlainText">
    <w:name w:val="Plain Text"/>
    <w:basedOn w:val="Normal"/>
    <w:link w:val="PlainTextChar"/>
    <w:uiPriority w:val="99"/>
    <w:unhideWhenUsed/>
    <w:rsid w:val="00586392"/>
    <w:pPr>
      <w:spacing w:after="0" w:line="240" w:lineRule="auto"/>
    </w:pPr>
    <w:rPr>
      <w:rFonts w:ascii="Consolas" w:hAnsi="Consolas" w:cs="Times New Roman"/>
      <w:sz w:val="21"/>
      <w:szCs w:val="21"/>
    </w:rPr>
  </w:style>
  <w:style w:type="character" w:customStyle="1" w:styleId="PlainTextChar">
    <w:name w:val="Plain Text Char"/>
    <w:basedOn w:val="DefaultParagraphFont"/>
    <w:link w:val="PlainText"/>
    <w:uiPriority w:val="99"/>
    <w:rsid w:val="00586392"/>
    <w:rPr>
      <w:rFonts w:ascii="Consolas" w:hAnsi="Consolas" w:cs="Times New Roman"/>
      <w:sz w:val="21"/>
      <w:szCs w:val="21"/>
    </w:rPr>
  </w:style>
  <w:style w:type="character" w:styleId="Hyperlink">
    <w:name w:val="Hyperlink"/>
    <w:basedOn w:val="DefaultParagraphFont"/>
    <w:uiPriority w:val="99"/>
    <w:unhideWhenUsed/>
    <w:rsid w:val="007C21B7"/>
    <w:rPr>
      <w:color w:val="0563C1" w:themeColor="hyperlink"/>
      <w:u w:val="single"/>
    </w:rPr>
  </w:style>
  <w:style w:type="character" w:styleId="UnresolvedMention">
    <w:name w:val="Unresolved Mention"/>
    <w:basedOn w:val="DefaultParagraphFont"/>
    <w:uiPriority w:val="99"/>
    <w:semiHidden/>
    <w:unhideWhenUsed/>
    <w:rsid w:val="007C21B7"/>
    <w:rPr>
      <w:color w:val="605E5C"/>
      <w:shd w:val="clear" w:color="auto" w:fill="E1DFDD"/>
    </w:rPr>
  </w:style>
  <w:style w:type="character" w:styleId="PlaceholderText">
    <w:name w:val="Placeholder Text"/>
    <w:basedOn w:val="DefaultParagraphFont"/>
    <w:uiPriority w:val="99"/>
    <w:semiHidden/>
    <w:rsid w:val="00E527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654566">
      <w:bodyDiv w:val="1"/>
      <w:marLeft w:val="0"/>
      <w:marRight w:val="0"/>
      <w:marTop w:val="0"/>
      <w:marBottom w:val="0"/>
      <w:divBdr>
        <w:top w:val="none" w:sz="0" w:space="0" w:color="auto"/>
        <w:left w:val="none" w:sz="0" w:space="0" w:color="auto"/>
        <w:bottom w:val="none" w:sz="0" w:space="0" w:color="auto"/>
        <w:right w:val="none" w:sz="0" w:space="0" w:color="auto"/>
      </w:divBdr>
    </w:div>
    <w:div w:id="707993797">
      <w:bodyDiv w:val="1"/>
      <w:marLeft w:val="0"/>
      <w:marRight w:val="0"/>
      <w:marTop w:val="0"/>
      <w:marBottom w:val="0"/>
      <w:divBdr>
        <w:top w:val="none" w:sz="0" w:space="0" w:color="auto"/>
        <w:left w:val="none" w:sz="0" w:space="0" w:color="auto"/>
        <w:bottom w:val="none" w:sz="0" w:space="0" w:color="auto"/>
        <w:right w:val="none" w:sz="0" w:space="0" w:color="auto"/>
      </w:divBdr>
    </w:div>
    <w:div w:id="1062027463">
      <w:bodyDiv w:val="1"/>
      <w:marLeft w:val="0"/>
      <w:marRight w:val="0"/>
      <w:marTop w:val="0"/>
      <w:marBottom w:val="0"/>
      <w:divBdr>
        <w:top w:val="none" w:sz="0" w:space="0" w:color="auto"/>
        <w:left w:val="none" w:sz="0" w:space="0" w:color="auto"/>
        <w:bottom w:val="none" w:sz="0" w:space="0" w:color="auto"/>
        <w:right w:val="none" w:sz="0" w:space="0" w:color="auto"/>
      </w:divBdr>
    </w:div>
    <w:div w:id="1101071607">
      <w:bodyDiv w:val="1"/>
      <w:marLeft w:val="0"/>
      <w:marRight w:val="0"/>
      <w:marTop w:val="0"/>
      <w:marBottom w:val="0"/>
      <w:divBdr>
        <w:top w:val="none" w:sz="0" w:space="0" w:color="auto"/>
        <w:left w:val="none" w:sz="0" w:space="0" w:color="auto"/>
        <w:bottom w:val="none" w:sz="0" w:space="0" w:color="auto"/>
        <w:right w:val="none" w:sz="0" w:space="0" w:color="auto"/>
      </w:divBdr>
    </w:div>
    <w:div w:id="1142112354">
      <w:bodyDiv w:val="1"/>
      <w:marLeft w:val="0"/>
      <w:marRight w:val="0"/>
      <w:marTop w:val="0"/>
      <w:marBottom w:val="0"/>
      <w:divBdr>
        <w:top w:val="none" w:sz="0" w:space="0" w:color="auto"/>
        <w:left w:val="none" w:sz="0" w:space="0" w:color="auto"/>
        <w:bottom w:val="none" w:sz="0" w:space="0" w:color="auto"/>
        <w:right w:val="none" w:sz="0" w:space="0" w:color="auto"/>
      </w:divBdr>
    </w:div>
    <w:div w:id="1957448562">
      <w:bodyDiv w:val="1"/>
      <w:marLeft w:val="0"/>
      <w:marRight w:val="0"/>
      <w:marTop w:val="0"/>
      <w:marBottom w:val="0"/>
      <w:divBdr>
        <w:top w:val="none" w:sz="0" w:space="0" w:color="auto"/>
        <w:left w:val="none" w:sz="0" w:space="0" w:color="auto"/>
        <w:bottom w:val="none" w:sz="0" w:space="0" w:color="auto"/>
        <w:right w:val="none" w:sz="0" w:space="0" w:color="auto"/>
      </w:divBdr>
    </w:div>
    <w:div w:id="203083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2E451-99B8-C946-B08D-5526C6143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2367</Words>
  <Characters>13495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von Kleeck</dc:creator>
  <cp:keywords/>
  <dc:description/>
  <cp:lastModifiedBy>Ryan von Kleeck</cp:lastModifiedBy>
  <cp:revision>6</cp:revision>
  <cp:lastPrinted>2020-03-12T18:17:00Z</cp:lastPrinted>
  <dcterms:created xsi:type="dcterms:W3CDTF">2020-12-01T18:14:00Z</dcterms:created>
  <dcterms:modified xsi:type="dcterms:W3CDTF">2020-12-07T21:22:00Z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http://www.zotero.org/styles/aging-cell</vt:lpwstr>
  </property>
  <property fmtid="{D5CDD505-2E9C-101B-9397-08002B2CF9AE}" pid="3" name="Mendeley Recent Style Name 0_1">
    <vt:lpwstr>Aging Cell</vt:lpwstr>
  </property>
  <property fmtid="{D5CDD505-2E9C-101B-9397-08002B2CF9AE}" pid="4" name="Mendeley Recent Style Id 1_1">
    <vt:lpwstr>http://www.zotero.org/styles/american-medical-association</vt:lpwstr>
  </property>
  <property fmtid="{D5CDD505-2E9C-101B-9397-08002B2CF9AE}" pid="5" name="Mendeley Recent Style Name 1_1">
    <vt:lpwstr>American Medical Association</vt:lpwstr>
  </property>
  <property fmtid="{D5CDD505-2E9C-101B-9397-08002B2CF9AE}" pid="6" name="Mendeley Recent Style Id 2_1">
    <vt:lpwstr>http://www.zotero.org/styles/american-political-science-association</vt:lpwstr>
  </property>
  <property fmtid="{D5CDD505-2E9C-101B-9397-08002B2CF9AE}" pid="7" name="Mendeley Recent Style Name 2_1">
    <vt:lpwstr>American Political Science Association</vt:lpwstr>
  </property>
  <property fmtid="{D5CDD505-2E9C-101B-9397-08002B2CF9AE}" pid="8" name="Mendeley Recent Style Id 3_1">
    <vt:lpwstr>http://www.zotero.org/styles/apa</vt:lpwstr>
  </property>
  <property fmtid="{D5CDD505-2E9C-101B-9397-08002B2CF9AE}" pid="9" name="Mendeley Recent Style Name 3_1">
    <vt:lpwstr>American Psychological Association 6th edition</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http://www.zotero.org/styles/national-library-of-medicine</vt:lpwstr>
  </property>
  <property fmtid="{D5CDD505-2E9C-101B-9397-08002B2CF9AE}" pid="17" name="Mendeley Recent Style Name 7_1">
    <vt:lpwstr>National Library of Medicine</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http://www.zotero.org/styles/the-journal-of-clinical-investigation</vt:lpwstr>
  </property>
  <property fmtid="{D5CDD505-2E9C-101B-9397-08002B2CF9AE}" pid="21" name="Mendeley Recent Style Name 9_1">
    <vt:lpwstr>The Journal of Clinical Investigation</vt:lpwstr>
  </property>
  <property fmtid="{D5CDD505-2E9C-101B-9397-08002B2CF9AE}" pid="22" name="Mendeley Citation Style_1">
    <vt:lpwstr>http://www.zotero.org/styles/aging-cell</vt:lpwstr>
  </property>
  <property fmtid="{D5CDD505-2E9C-101B-9397-08002B2CF9AE}" pid="23" name="Mendeley Document_1">
    <vt:lpwstr>True</vt:lpwstr>
  </property>
  <property fmtid="{D5CDD505-2E9C-101B-9397-08002B2CF9AE}" pid="24" name="Mendeley Unique User Id_1">
    <vt:lpwstr>b3c8f410-bf90-3aec-a4a9-55bbec09141a</vt:lpwstr>
  </property>
</Properties>
</file>