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FF" w:rsidRDefault="003F37FF" w:rsidP="003F37FF">
      <w:pPr>
        <w:pStyle w:val="Heading2"/>
      </w:pPr>
      <w:bookmarkStart w:id="0" w:name="_Toc80022850"/>
      <w:r>
        <w:t xml:space="preserve">Table </w:t>
      </w:r>
      <w:r w:rsidR="00ED2E5D">
        <w:t>S</w:t>
      </w:r>
      <w:bookmarkStart w:id="1" w:name="_GoBack"/>
      <w:bookmarkEnd w:id="1"/>
      <w:r>
        <w:t>1 - Quality Features</w:t>
      </w:r>
      <w:bookmarkEnd w:id="0"/>
    </w:p>
    <w:p w:rsidR="003F37FF" w:rsidRDefault="003F37FF" w:rsidP="003F37FF">
      <w:r>
        <w:t xml:space="preserve">RAW was derived from FastQC, MAP are the mapping statistics using Bowtie2, ChipSeeker was used for LOC and ChIPPeakAnno for TSS. </w:t>
      </w:r>
    </w:p>
    <w:tbl>
      <w:tblPr>
        <w:tblW w:w="9015" w:type="dxa"/>
        <w:tblBorders>
          <w:insideH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2271"/>
        <w:gridCol w:w="5610"/>
      </w:tblGrid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feature set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Feature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Definition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RAW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Basic_Statistics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Generates some simple composition statistics, like file name and type but also the overall GC content. Never raises a warning/failure and is only kept for completeness. Values: 0 if failure, 1 if warning, 2 if pass.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RAW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Per_base_sequence_quality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Based on the range of phred quality scores across all bases of a read. A warning/failure is returned if any base has a lower quantile below 10/5. Values: 0 if failure, 1 if warning, 2 if pass.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RAW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Per_tile_sequence_quality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Averaged base quality over flow tiles of the machine generating the files (only usable with Illumina machines).  Values: 0 if failure, 1 if warning, 2 if pass.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RAW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Per_sequence_quality_scores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Based on mean phred score for all sequences, raises warning/error when the most frequent mean quality is below 27/20. Values: 0 if failure, 1 if warning, 2 if pass.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RAW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Per_base_sequence_content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Based on the content of each base in given sequence, warning/failure when difference between A and T or G and C is greater than 10%/20%. Values: 0 if failure, 1 if warning, 2 if pass.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RAW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Per_sequence_GC_content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Based on GC content in given sequence, warning/failure if more than 15%/30% of reads deviate from normal distribution over their mean GC content. Values: 0 if failure, 1 if warning, 2 if pass.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RAW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Per_base_N_content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Based on the content of non-callable bases in given position, warning/failure if any position shows more than 5%/10%. Values: 0 if failure, 1 if warning, 2 if pass.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RAW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Sequence_Length_Distribution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Based on the distribution of fragment sizes in the file, warning if any of the sequences differ in length, failure when any sequence has a length of zero. Values: 0 if failure, 1 if warning, 2 if pass.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lastRenderedPageBreak/>
              <w:t>RAW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Sequence_Duplication_Levels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Based on the degree of duplication for every sequence in a library, warning/failure issued if non-unique sequences make up more than 20%/50% in total. Values: 0 if failure, 1 if warning, 2 if pass.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RAW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Overrepresented_sequences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Based on the count of sequences that are overrepresented in distribution of a file, warning/failure is issued if any sequence is found to represent more than 0.1%/1% of total. Values: 0 if failure, 1 if warning, 2 if pass.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RAW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Adapter_Content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Based on specialized Kmer content, for adapter sequences. warning/failure is issued if any sequence is present in more than 5%/10% of all reads. Values: 0 if failure, 1 if warning, 2 if pass.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RAW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Kmer_Content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Based on the measure of the number of each 7-mer at each position in the library and uses binomial test to for significant deviations from even coverage at all positions. Warning/failure issued if any k-mer is imbalanced with a binomial p-value &lt; 0.01/10e-5. Values: 0 if failure, 1 if warning, 2 if pass.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MAP_SE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no_mapping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Percentage of reads that could not be mapped to reference genome in a single-ended experiment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MAP_SE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uniquely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Percentage of reads that are mapped to a unique location in a single-ended experiment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MAP_SE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multiple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Percentage of reads that were mapped to multiple locations in a single-ended experiment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MAP_SE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Overall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Percentage of reads that could be mapped to reference genome in a single-ended experiment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MAP_PE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con_no_mapping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Percentage of read pairs that could not be mapped concordantly to reference genome in a paired-ended experiment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MAP_PE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con_uniquely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Percentage of read pairs that are mapped concordantly to a unique location in a paired-ended experiment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MAP_PE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con_multiple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Percentage of read pairs that were mapped concordantly to multiple locations in a paired-ended experiment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lastRenderedPageBreak/>
              <w:t>MAP_PE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dis_uniquely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Percentage of read pairs that are mapped discordantly to a unique location in a paired-ended experiment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MAP_PE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cod_no_mapping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Percentage of read pairs that could not be mapped concordantly or discordantly to reference genome in a paired-ended experiment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MAP_PE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cod_uniquely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Percentage of read pairs that are mapped concordantly or discordantly to a unique location in a paired-ended experiment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MAP_PE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cod_multiple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Percentage of read pairs that were mapped concordantly or discordantly to multiple locations in a paired-ended experiment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MAP_PE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overall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Percentage of reads that could be mapped to reference genome in a paired-ended experiment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MAP_MI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no_mapping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Equals either MAP_SE_no_mapping for single-ended experiments, or MAP_PE_con_no_mapping for paired-ended experiments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MAP_MI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uniquely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Equals either MAP_SE_uniquely for single-ended experiments, or MAP_PE_con_uniquely for paired-ended experiments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MAP_MI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multiple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Equals either MAP_SE_multiple for single-ended experiments, or MAP_PE_con_multiple for paired-ended experiments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MAP_MI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Overall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Equals either MAP_SE_overall for single-ended experiments, or MAP_PE_con_overall for paired-ended experiments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LOC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Promoter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Percentage of reads in promoter regions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LOC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5_UTR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Percentage of reads in 5’ UTR regions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LOC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3_UTR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Percentage of reads in 3’ UTR regions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LOC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1st_Exon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Percentage of reads in 1st exon regions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LOC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Other_Exon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Percentage of reads in non-first exon regions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lastRenderedPageBreak/>
              <w:t>LOC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1st_Intron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Percentage of reads in 1st intron regions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LOC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Other_Intron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Percentage of reads in non-first intron regions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LOC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Downstream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Percentage of reads in downstream gene regions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LOC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Distal_Intergenic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Percentage of reads in distal intergenic regions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TSS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-4500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Percentage of reads in -5k, -4k region relative to TSS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TSS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-3500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Percentage of reads in [-4k, -3k] bp region relative to transcription start sites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TSS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-2500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Percentage of reads in [-3k, -2k] bp region relative to transcription start sites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TSS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-1500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Percentage of reads in [-2k, -1k] bp region relative to transcription start sites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TSS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-500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Percentage of reads in [-1k, 0] bp region relative to transcription start sites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TSS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500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Percentage of reads in [0k, 1k] bp region relative to transcription start sites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TSS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1500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Percentage of reads in [1k, 2k] bp region relative to transcription start sites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TSS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2500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Percentage of reads in [2k, 3k] bp region relative to transcription start sites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TSS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3500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Percentage of reads in [3k, 4k] bp region relative to transcription start sites</w:t>
            </w:r>
          </w:p>
        </w:tc>
      </w:tr>
      <w:tr w:rsidR="003F37FF" w:rsidTr="00E82C54">
        <w:trPr>
          <w:trHeight w:val="20"/>
        </w:trPr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TSS</w:t>
            </w:r>
          </w:p>
        </w:tc>
        <w:tc>
          <w:tcPr>
            <w:tcW w:w="227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4500</w:t>
            </w:r>
          </w:p>
        </w:tc>
        <w:tc>
          <w:tcPr>
            <w:tcW w:w="561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37FF" w:rsidRDefault="003F37FF" w:rsidP="00E82C54">
            <w:pPr>
              <w:spacing w:line="240" w:lineRule="auto"/>
            </w:pPr>
            <w:r>
              <w:t>Percentage of reads in [4k, 5k] bp region relative to transcription start sites</w:t>
            </w:r>
          </w:p>
        </w:tc>
      </w:tr>
    </w:tbl>
    <w:p w:rsidR="00DB7986" w:rsidRDefault="00DB7986"/>
    <w:sectPr w:rsidR="00DB7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FF"/>
    <w:rsid w:val="00036DC7"/>
    <w:rsid w:val="003F37FF"/>
    <w:rsid w:val="007815DF"/>
    <w:rsid w:val="007A36AE"/>
    <w:rsid w:val="008D1823"/>
    <w:rsid w:val="00DB7986"/>
    <w:rsid w:val="00ED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7FF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37FF"/>
    <w:rPr>
      <w:rFonts w:ascii="Arial" w:eastAsia="Arial" w:hAnsi="Arial" w:cs="Arial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7FF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37FF"/>
    <w:rPr>
      <w:rFonts w:ascii="Arial" w:eastAsia="Arial" w:hAnsi="Arial" w:cs="Arial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12992_ME</dc:creator>
  <cp:lastModifiedBy>12992_ME</cp:lastModifiedBy>
  <cp:revision>2</cp:revision>
  <dcterms:created xsi:type="dcterms:W3CDTF">2021-08-20T10:58:00Z</dcterms:created>
  <dcterms:modified xsi:type="dcterms:W3CDTF">2021-08-20T11:05:00Z</dcterms:modified>
</cp:coreProperties>
</file>