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952B" w14:textId="23350CAE" w:rsidR="00162B26" w:rsidRDefault="009636E8" w:rsidP="00FB4047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Supplementary Tables</w:t>
      </w:r>
    </w:p>
    <w:p w14:paraId="68023754" w14:textId="3E530A68" w:rsidR="00FB4047" w:rsidRDefault="007D1380" w:rsidP="007D13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D1380">
        <w:rPr>
          <w:rFonts w:ascii="Calibri" w:hAnsi="Calibri" w:cs="Calibri"/>
          <w:i/>
          <w:sz w:val="24"/>
          <w:szCs w:val="24"/>
        </w:rPr>
        <w:t>In vivo</w:t>
      </w:r>
      <w:r w:rsidRPr="007D1380">
        <w:rPr>
          <w:rFonts w:ascii="Calibri" w:hAnsi="Calibri" w:cs="Calibri"/>
          <w:sz w:val="24"/>
          <w:szCs w:val="24"/>
        </w:rPr>
        <w:t xml:space="preserve"> CRISPR/Cas9 knockout screen: TCEAL1 silencing enhances docetaxel efficacy in prostate cancer</w:t>
      </w:r>
    </w:p>
    <w:p w14:paraId="12C3203C" w14:textId="77777777" w:rsidR="007D1380" w:rsidRPr="007D1380" w:rsidRDefault="007D1380" w:rsidP="007D138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779B725" w14:textId="7225DFD2" w:rsidR="009407D0" w:rsidRDefault="00C60FED" w:rsidP="009407D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Table </w:t>
      </w:r>
      <w:proofErr w:type="spellStart"/>
      <w:r>
        <w:rPr>
          <w:rFonts w:cstheme="minorHAnsi"/>
          <w:b/>
          <w:sz w:val="24"/>
          <w:szCs w:val="24"/>
        </w:rPr>
        <w:t>S3</w:t>
      </w:r>
      <w:proofErr w:type="spellEnd"/>
      <w:r w:rsidR="009407D0" w:rsidRPr="009407D0">
        <w:rPr>
          <w:rFonts w:cstheme="minorHAnsi"/>
          <w:b/>
          <w:sz w:val="24"/>
          <w:szCs w:val="24"/>
        </w:rPr>
        <w:t>.</w:t>
      </w:r>
      <w:r w:rsidR="009407D0">
        <w:rPr>
          <w:rFonts w:cstheme="minorHAnsi"/>
          <w:sz w:val="24"/>
          <w:szCs w:val="24"/>
        </w:rPr>
        <w:t xml:space="preserve"> P</w:t>
      </w:r>
      <w:r w:rsidR="009407D0" w:rsidRPr="005E12E9">
        <w:rPr>
          <w:rFonts w:cstheme="minorHAnsi"/>
          <w:sz w:val="24"/>
          <w:szCs w:val="24"/>
        </w:rPr>
        <w:t>ercentage</w:t>
      </w:r>
      <w:r w:rsidR="009407D0">
        <w:rPr>
          <w:rFonts w:cstheme="minorHAnsi"/>
          <w:sz w:val="24"/>
          <w:szCs w:val="24"/>
        </w:rPr>
        <w:t>s (±SD)</w:t>
      </w:r>
      <w:r w:rsidR="009407D0" w:rsidRPr="005E12E9">
        <w:rPr>
          <w:rFonts w:cstheme="minorHAnsi"/>
          <w:sz w:val="24"/>
          <w:szCs w:val="24"/>
        </w:rPr>
        <w:t xml:space="preserve"> of PC3M cells in </w:t>
      </w:r>
      <w:r w:rsidR="009407D0">
        <w:rPr>
          <w:rFonts w:cstheme="minorHAnsi"/>
          <w:sz w:val="24"/>
          <w:szCs w:val="24"/>
        </w:rPr>
        <w:t>the indicated</w:t>
      </w:r>
      <w:r w:rsidR="009407D0" w:rsidRPr="005E12E9">
        <w:rPr>
          <w:rFonts w:cstheme="minorHAnsi"/>
          <w:sz w:val="24"/>
          <w:szCs w:val="24"/>
        </w:rPr>
        <w:t xml:space="preserve"> stages of the cell cycle (n=3 biological replicate</w:t>
      </w:r>
      <w:r w:rsidR="009407D0">
        <w:rPr>
          <w:rFonts w:cstheme="minorHAnsi"/>
          <w:sz w:val="24"/>
          <w:szCs w:val="24"/>
        </w:rPr>
        <w:t xml:space="preserve">s). </w:t>
      </w:r>
      <w:r w:rsidR="00CB462E">
        <w:rPr>
          <w:rFonts w:cstheme="minorHAnsi"/>
          <w:sz w:val="24"/>
          <w:szCs w:val="24"/>
        </w:rPr>
        <w:t xml:space="preserve"> </w:t>
      </w:r>
      <w:r w:rsidR="009407D0">
        <w:rPr>
          <w:rFonts w:cstheme="minorHAnsi"/>
          <w:sz w:val="24"/>
          <w:szCs w:val="24"/>
        </w:rPr>
        <w:t xml:space="preserve">Percentages shown in red are increased compared to control, those in blue are decreased. </w:t>
      </w:r>
      <w:r w:rsidR="00F503B7">
        <w:rPr>
          <w:rFonts w:cstheme="minorHAnsi"/>
          <w:sz w:val="24"/>
          <w:szCs w:val="24"/>
        </w:rPr>
        <w:t>Numbers in bold indicate</w:t>
      </w:r>
      <w:r w:rsidR="00920DA3">
        <w:rPr>
          <w:rFonts w:cstheme="minorHAnsi"/>
          <w:sz w:val="24"/>
          <w:szCs w:val="24"/>
        </w:rPr>
        <w:t xml:space="preserve"> th</w:t>
      </w:r>
      <w:r w:rsidR="00212A48">
        <w:rPr>
          <w:rFonts w:cstheme="minorHAnsi"/>
          <w:sz w:val="24"/>
          <w:szCs w:val="24"/>
        </w:rPr>
        <w:t xml:space="preserve">e </w:t>
      </w:r>
      <w:r w:rsidR="00F503B7">
        <w:rPr>
          <w:rFonts w:cstheme="minorHAnsi"/>
          <w:sz w:val="24"/>
          <w:szCs w:val="24"/>
        </w:rPr>
        <w:t>cell cycle stages</w:t>
      </w:r>
      <w:r w:rsidR="00920DA3">
        <w:rPr>
          <w:rFonts w:cstheme="minorHAnsi"/>
          <w:sz w:val="24"/>
          <w:szCs w:val="24"/>
        </w:rPr>
        <w:t xml:space="preserve"> that</w:t>
      </w:r>
      <w:r w:rsidR="00212A48">
        <w:rPr>
          <w:rFonts w:cstheme="minorHAnsi"/>
          <w:sz w:val="24"/>
          <w:szCs w:val="24"/>
        </w:rPr>
        <w:t xml:space="preserve"> are most significantly altered for each treatment.</w:t>
      </w:r>
      <w:r w:rsidR="00920DA3">
        <w:rPr>
          <w:rFonts w:cstheme="minorHAnsi"/>
          <w:sz w:val="24"/>
          <w:szCs w:val="24"/>
        </w:rPr>
        <w:t xml:space="preserve"> </w:t>
      </w:r>
    </w:p>
    <w:p w14:paraId="6373AD07" w14:textId="77777777" w:rsidR="009407D0" w:rsidRPr="000035CF" w:rsidRDefault="009407D0" w:rsidP="009407D0">
      <w:pPr>
        <w:spacing w:line="240" w:lineRule="auto"/>
        <w:jc w:val="both"/>
        <w:rPr>
          <w:rFonts w:cstheme="minorHAnsi"/>
          <w:sz w:val="24"/>
          <w:szCs w:val="24"/>
        </w:rPr>
      </w:pPr>
      <w:r w:rsidRPr="005E12E9">
        <w:rPr>
          <w:sz w:val="24"/>
          <w:szCs w:val="24"/>
        </w:rPr>
        <w:fldChar w:fldCharType="begin"/>
      </w:r>
      <w:r w:rsidRPr="005E12E9">
        <w:rPr>
          <w:sz w:val="24"/>
          <w:szCs w:val="24"/>
        </w:rPr>
        <w:instrText xml:space="preserve"> LINK Excel.Sheet.12 "Book1" "Sheet1!R2C8:R7C12" \a \f 5 \h  \* MERGEFORMAT </w:instrText>
      </w:r>
      <w:r w:rsidRPr="005E12E9">
        <w:rPr>
          <w:sz w:val="24"/>
          <w:szCs w:val="24"/>
        </w:rPr>
        <w:fldChar w:fldCharType="separate"/>
      </w:r>
    </w:p>
    <w:tbl>
      <w:tblPr>
        <w:tblStyle w:val="TableGrid"/>
        <w:tblW w:w="8649" w:type="dxa"/>
        <w:tblLook w:val="04A0" w:firstRow="1" w:lastRow="0" w:firstColumn="1" w:lastColumn="0" w:noHBand="0" w:noVBand="1"/>
      </w:tblPr>
      <w:tblGrid>
        <w:gridCol w:w="1264"/>
        <w:gridCol w:w="2147"/>
        <w:gridCol w:w="1791"/>
        <w:gridCol w:w="1791"/>
        <w:gridCol w:w="1791"/>
      </w:tblGrid>
      <w:tr w:rsidR="009407D0" w:rsidRPr="005E12E9" w14:paraId="125505A2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67C1D449" w14:textId="77777777" w:rsidR="009407D0" w:rsidRPr="005E12E9" w:rsidRDefault="009407D0" w:rsidP="00EC15A2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noWrap/>
            <w:hideMark/>
          </w:tcPr>
          <w:p w14:paraId="11F9E032" w14:textId="77777777" w:rsidR="009407D0" w:rsidRPr="005E12E9" w:rsidRDefault="009407D0" w:rsidP="00EC15A2">
            <w:pPr>
              <w:jc w:val="center"/>
              <w:rPr>
                <w:b/>
                <w:sz w:val="24"/>
                <w:szCs w:val="24"/>
              </w:rPr>
            </w:pPr>
            <w:r w:rsidRPr="005E12E9"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1791" w:type="dxa"/>
            <w:noWrap/>
            <w:hideMark/>
          </w:tcPr>
          <w:p w14:paraId="3A1A9251" w14:textId="77777777" w:rsidR="009407D0" w:rsidRPr="005E12E9" w:rsidRDefault="009407D0" w:rsidP="00EC15A2">
            <w:pPr>
              <w:jc w:val="center"/>
              <w:rPr>
                <w:b/>
                <w:sz w:val="24"/>
                <w:szCs w:val="24"/>
              </w:rPr>
            </w:pPr>
            <w:r w:rsidRPr="005E12E9">
              <w:rPr>
                <w:b/>
                <w:sz w:val="24"/>
                <w:szCs w:val="24"/>
              </w:rPr>
              <w:t>Doc</w:t>
            </w:r>
          </w:p>
        </w:tc>
        <w:tc>
          <w:tcPr>
            <w:tcW w:w="1791" w:type="dxa"/>
            <w:noWrap/>
            <w:hideMark/>
          </w:tcPr>
          <w:p w14:paraId="286BF116" w14:textId="77777777" w:rsidR="009407D0" w:rsidRPr="005E12E9" w:rsidRDefault="009407D0" w:rsidP="00EC1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12E9">
              <w:rPr>
                <w:b/>
                <w:sz w:val="24"/>
                <w:szCs w:val="24"/>
              </w:rPr>
              <w:t>TCEAL1</w:t>
            </w:r>
            <w:proofErr w:type="spellEnd"/>
            <w:r w:rsidRPr="005E12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2E9">
              <w:rPr>
                <w:b/>
                <w:sz w:val="24"/>
                <w:szCs w:val="24"/>
              </w:rPr>
              <w:t>siRNA</w:t>
            </w:r>
            <w:proofErr w:type="spellEnd"/>
          </w:p>
        </w:tc>
        <w:tc>
          <w:tcPr>
            <w:tcW w:w="1791" w:type="dxa"/>
            <w:noWrap/>
            <w:hideMark/>
          </w:tcPr>
          <w:p w14:paraId="500CB3A8" w14:textId="77777777" w:rsidR="009407D0" w:rsidRPr="005E12E9" w:rsidRDefault="009407D0" w:rsidP="00EC15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12E9">
              <w:rPr>
                <w:b/>
                <w:sz w:val="24"/>
                <w:szCs w:val="24"/>
              </w:rPr>
              <w:t>TCEAL1</w:t>
            </w:r>
            <w:proofErr w:type="spellEnd"/>
            <w:r w:rsidRPr="005E12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12E9">
              <w:rPr>
                <w:b/>
                <w:sz w:val="24"/>
                <w:szCs w:val="24"/>
              </w:rPr>
              <w:t>siRNA</w:t>
            </w:r>
            <w:proofErr w:type="spellEnd"/>
            <w:r w:rsidRPr="005E12E9">
              <w:rPr>
                <w:b/>
                <w:sz w:val="24"/>
                <w:szCs w:val="24"/>
              </w:rPr>
              <w:t xml:space="preserve"> + Doc</w:t>
            </w:r>
          </w:p>
        </w:tc>
      </w:tr>
      <w:tr w:rsidR="009407D0" w:rsidRPr="005E12E9" w14:paraId="17570209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62C5C3E8" w14:textId="77777777" w:rsidR="009407D0" w:rsidRPr="005E12E9" w:rsidRDefault="009407D0" w:rsidP="00EC15A2">
            <w:pPr>
              <w:rPr>
                <w:b/>
                <w:sz w:val="24"/>
                <w:szCs w:val="24"/>
              </w:rPr>
            </w:pPr>
            <w:r w:rsidRPr="005E12E9">
              <w:rPr>
                <w:b/>
                <w:sz w:val="24"/>
                <w:szCs w:val="24"/>
              </w:rPr>
              <w:t xml:space="preserve">Sub </w:t>
            </w:r>
            <w:proofErr w:type="spellStart"/>
            <w:r w:rsidRPr="005E12E9">
              <w:rPr>
                <w:b/>
                <w:sz w:val="24"/>
                <w:szCs w:val="24"/>
              </w:rPr>
              <w:t>G1</w:t>
            </w:r>
            <w:proofErr w:type="spellEnd"/>
          </w:p>
        </w:tc>
        <w:tc>
          <w:tcPr>
            <w:tcW w:w="2147" w:type="dxa"/>
            <w:noWrap/>
            <w:hideMark/>
          </w:tcPr>
          <w:p w14:paraId="57F993FD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5E12E9">
              <w:rPr>
                <w:sz w:val="24"/>
                <w:szCs w:val="24"/>
              </w:rPr>
              <w:t>0.8 (</w:t>
            </w:r>
            <w:r w:rsidRPr="005E12E9">
              <w:rPr>
                <w:rFonts w:cstheme="minorHAnsi"/>
                <w:sz w:val="24"/>
                <w:szCs w:val="24"/>
              </w:rPr>
              <w:t>±</w:t>
            </w:r>
            <w:r w:rsidRPr="005E12E9">
              <w:rPr>
                <w:sz w:val="24"/>
                <w:szCs w:val="24"/>
              </w:rPr>
              <w:t>0.04)</w:t>
            </w:r>
          </w:p>
        </w:tc>
        <w:tc>
          <w:tcPr>
            <w:tcW w:w="1791" w:type="dxa"/>
            <w:noWrap/>
            <w:hideMark/>
          </w:tcPr>
          <w:p w14:paraId="1CAF42A7" w14:textId="77777777" w:rsidR="009407D0" w:rsidRPr="00212A48" w:rsidRDefault="009407D0" w:rsidP="00EC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A48">
              <w:rPr>
                <w:b/>
                <w:color w:val="FF0000"/>
                <w:sz w:val="24"/>
                <w:szCs w:val="24"/>
              </w:rPr>
              <w:t>7.6 (</w:t>
            </w:r>
            <w:r w:rsidRPr="00212A48">
              <w:rPr>
                <w:rFonts w:cstheme="minorHAnsi"/>
                <w:b/>
                <w:color w:val="FF0000"/>
                <w:sz w:val="24"/>
                <w:szCs w:val="24"/>
              </w:rPr>
              <w:t>±0.80)</w:t>
            </w:r>
          </w:p>
        </w:tc>
        <w:tc>
          <w:tcPr>
            <w:tcW w:w="1791" w:type="dxa"/>
            <w:noWrap/>
            <w:hideMark/>
          </w:tcPr>
          <w:p w14:paraId="0A9CD02C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2.9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0.84)</w:t>
            </w:r>
          </w:p>
        </w:tc>
        <w:tc>
          <w:tcPr>
            <w:tcW w:w="1791" w:type="dxa"/>
            <w:noWrap/>
            <w:hideMark/>
          </w:tcPr>
          <w:p w14:paraId="3CEAD0BF" w14:textId="77777777" w:rsidR="009407D0" w:rsidRPr="00212A48" w:rsidRDefault="009407D0" w:rsidP="00EC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A48">
              <w:rPr>
                <w:b/>
                <w:color w:val="FF0000"/>
                <w:sz w:val="24"/>
                <w:szCs w:val="24"/>
              </w:rPr>
              <w:t>11.5 (</w:t>
            </w:r>
            <w:r w:rsidRPr="00212A48">
              <w:rPr>
                <w:rFonts w:cstheme="minorHAnsi"/>
                <w:b/>
                <w:color w:val="FF0000"/>
                <w:sz w:val="24"/>
                <w:szCs w:val="24"/>
              </w:rPr>
              <w:t>±</w:t>
            </w:r>
            <w:r w:rsidRPr="00212A48">
              <w:rPr>
                <w:b/>
                <w:color w:val="FF0000"/>
                <w:sz w:val="24"/>
                <w:szCs w:val="24"/>
              </w:rPr>
              <w:t>1.82)</w:t>
            </w:r>
          </w:p>
        </w:tc>
      </w:tr>
      <w:tr w:rsidR="009407D0" w:rsidRPr="005E12E9" w14:paraId="0978505D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7FF5D427" w14:textId="77777777" w:rsidR="009407D0" w:rsidRPr="005E12E9" w:rsidRDefault="009407D0" w:rsidP="00EC15A2">
            <w:pPr>
              <w:rPr>
                <w:b/>
                <w:sz w:val="24"/>
                <w:szCs w:val="24"/>
              </w:rPr>
            </w:pPr>
            <w:proofErr w:type="spellStart"/>
            <w:r w:rsidRPr="005E12E9">
              <w:rPr>
                <w:b/>
                <w:sz w:val="24"/>
                <w:szCs w:val="24"/>
              </w:rPr>
              <w:t>G1</w:t>
            </w:r>
            <w:proofErr w:type="spellEnd"/>
          </w:p>
        </w:tc>
        <w:tc>
          <w:tcPr>
            <w:tcW w:w="2147" w:type="dxa"/>
            <w:noWrap/>
            <w:hideMark/>
          </w:tcPr>
          <w:p w14:paraId="14D8E7EA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5E12E9">
              <w:rPr>
                <w:sz w:val="24"/>
                <w:szCs w:val="24"/>
              </w:rPr>
              <w:t>49.1 (</w:t>
            </w:r>
            <w:r w:rsidRPr="005E12E9">
              <w:rPr>
                <w:rFonts w:cstheme="minorHAnsi"/>
                <w:sz w:val="24"/>
                <w:szCs w:val="24"/>
              </w:rPr>
              <w:t>±</w:t>
            </w:r>
            <w:r w:rsidRPr="005E12E9">
              <w:rPr>
                <w:sz w:val="24"/>
                <w:szCs w:val="24"/>
              </w:rPr>
              <w:t>0.78)</w:t>
            </w:r>
          </w:p>
        </w:tc>
        <w:tc>
          <w:tcPr>
            <w:tcW w:w="1791" w:type="dxa"/>
            <w:noWrap/>
            <w:hideMark/>
          </w:tcPr>
          <w:p w14:paraId="6045A657" w14:textId="77777777" w:rsidR="009407D0" w:rsidRPr="00212A48" w:rsidRDefault="009407D0" w:rsidP="00EC15A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12A48">
              <w:rPr>
                <w:b/>
                <w:color w:val="2E74B5" w:themeColor="accent1" w:themeShade="BF"/>
                <w:sz w:val="24"/>
                <w:szCs w:val="24"/>
              </w:rPr>
              <w:t>25.5 (</w:t>
            </w:r>
            <w:r w:rsidRPr="00212A48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±</w:t>
            </w:r>
            <w:r w:rsidRPr="00212A48">
              <w:rPr>
                <w:b/>
                <w:color w:val="2E74B5" w:themeColor="accent1" w:themeShade="BF"/>
                <w:sz w:val="24"/>
                <w:szCs w:val="24"/>
              </w:rPr>
              <w:t>1.47)</w:t>
            </w:r>
          </w:p>
        </w:tc>
        <w:tc>
          <w:tcPr>
            <w:tcW w:w="1791" w:type="dxa"/>
            <w:noWrap/>
            <w:hideMark/>
          </w:tcPr>
          <w:p w14:paraId="6B0B497F" w14:textId="77777777" w:rsidR="009407D0" w:rsidRPr="00212A48" w:rsidRDefault="009407D0" w:rsidP="00EC15A2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12A48">
              <w:rPr>
                <w:b/>
                <w:color w:val="2E74B5" w:themeColor="accent1" w:themeShade="BF"/>
                <w:sz w:val="24"/>
                <w:szCs w:val="24"/>
              </w:rPr>
              <w:t>41.0 (</w:t>
            </w:r>
            <w:r w:rsidRPr="00212A48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±</w:t>
            </w:r>
            <w:r w:rsidRPr="00212A48">
              <w:rPr>
                <w:b/>
                <w:color w:val="2E74B5" w:themeColor="accent1" w:themeShade="BF"/>
                <w:sz w:val="24"/>
                <w:szCs w:val="24"/>
              </w:rPr>
              <w:t>1.17)</w:t>
            </w:r>
          </w:p>
        </w:tc>
        <w:tc>
          <w:tcPr>
            <w:tcW w:w="1791" w:type="dxa"/>
            <w:noWrap/>
            <w:hideMark/>
          </w:tcPr>
          <w:p w14:paraId="2B0F6A93" w14:textId="77777777" w:rsidR="009407D0" w:rsidRPr="000035CF" w:rsidRDefault="009407D0" w:rsidP="00EC15A2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0035CF">
              <w:rPr>
                <w:color w:val="2E74B5" w:themeColor="accent1" w:themeShade="BF"/>
                <w:sz w:val="24"/>
                <w:szCs w:val="24"/>
              </w:rPr>
              <w:t>31.3 (</w:t>
            </w:r>
            <w:r w:rsidRPr="000035CF">
              <w:rPr>
                <w:rFonts w:cstheme="minorHAnsi"/>
                <w:color w:val="2E74B5" w:themeColor="accent1" w:themeShade="BF"/>
                <w:sz w:val="24"/>
                <w:szCs w:val="24"/>
              </w:rPr>
              <w:t>±</w:t>
            </w:r>
            <w:r w:rsidRPr="000035CF">
              <w:rPr>
                <w:color w:val="2E74B5" w:themeColor="accent1" w:themeShade="BF"/>
                <w:sz w:val="24"/>
                <w:szCs w:val="24"/>
              </w:rPr>
              <w:t>2.60)</w:t>
            </w:r>
          </w:p>
        </w:tc>
      </w:tr>
      <w:tr w:rsidR="009407D0" w:rsidRPr="005E12E9" w14:paraId="37FFF261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67AFB3C9" w14:textId="77777777" w:rsidR="009407D0" w:rsidRPr="005E12E9" w:rsidRDefault="009407D0" w:rsidP="00EC15A2">
            <w:pPr>
              <w:rPr>
                <w:b/>
                <w:sz w:val="24"/>
                <w:szCs w:val="24"/>
              </w:rPr>
            </w:pPr>
            <w:r w:rsidRPr="005E12E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47" w:type="dxa"/>
            <w:noWrap/>
            <w:hideMark/>
          </w:tcPr>
          <w:p w14:paraId="5A91021B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5E12E9">
              <w:rPr>
                <w:sz w:val="24"/>
                <w:szCs w:val="24"/>
              </w:rPr>
              <w:t>8.7 (</w:t>
            </w:r>
            <w:r w:rsidRPr="005E12E9">
              <w:rPr>
                <w:rFonts w:cstheme="minorHAnsi"/>
                <w:sz w:val="24"/>
                <w:szCs w:val="24"/>
              </w:rPr>
              <w:t>±</w:t>
            </w:r>
            <w:r w:rsidRPr="005E12E9">
              <w:rPr>
                <w:sz w:val="24"/>
                <w:szCs w:val="24"/>
              </w:rPr>
              <w:t>0.47)</w:t>
            </w:r>
          </w:p>
        </w:tc>
        <w:tc>
          <w:tcPr>
            <w:tcW w:w="1791" w:type="dxa"/>
            <w:noWrap/>
            <w:hideMark/>
          </w:tcPr>
          <w:p w14:paraId="080AA8B8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13.8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1.93)</w:t>
            </w:r>
          </w:p>
        </w:tc>
        <w:tc>
          <w:tcPr>
            <w:tcW w:w="1791" w:type="dxa"/>
            <w:noWrap/>
            <w:hideMark/>
          </w:tcPr>
          <w:p w14:paraId="1BF74555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10.7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0.35)</w:t>
            </w:r>
          </w:p>
        </w:tc>
        <w:tc>
          <w:tcPr>
            <w:tcW w:w="1791" w:type="dxa"/>
            <w:noWrap/>
            <w:hideMark/>
          </w:tcPr>
          <w:p w14:paraId="782B80FA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13.2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1.93)</w:t>
            </w:r>
          </w:p>
        </w:tc>
      </w:tr>
      <w:tr w:rsidR="009407D0" w:rsidRPr="005E12E9" w14:paraId="224E0AED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71023AF1" w14:textId="77777777" w:rsidR="009407D0" w:rsidRPr="005E12E9" w:rsidRDefault="009407D0" w:rsidP="00EC15A2">
            <w:pPr>
              <w:rPr>
                <w:b/>
                <w:sz w:val="24"/>
                <w:szCs w:val="24"/>
              </w:rPr>
            </w:pPr>
            <w:proofErr w:type="spellStart"/>
            <w:r w:rsidRPr="005E12E9">
              <w:rPr>
                <w:b/>
                <w:sz w:val="24"/>
                <w:szCs w:val="24"/>
              </w:rPr>
              <w:t>G2</w:t>
            </w:r>
            <w:proofErr w:type="spellEnd"/>
            <w:r w:rsidRPr="005E12E9">
              <w:rPr>
                <w:b/>
                <w:sz w:val="24"/>
                <w:szCs w:val="24"/>
              </w:rPr>
              <w:t>/M</w:t>
            </w:r>
          </w:p>
        </w:tc>
        <w:tc>
          <w:tcPr>
            <w:tcW w:w="2147" w:type="dxa"/>
            <w:noWrap/>
            <w:hideMark/>
          </w:tcPr>
          <w:p w14:paraId="7D9C293B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5E12E9">
              <w:rPr>
                <w:sz w:val="24"/>
                <w:szCs w:val="24"/>
              </w:rPr>
              <w:t>37.5 (</w:t>
            </w:r>
            <w:r w:rsidRPr="005E12E9">
              <w:rPr>
                <w:rFonts w:cstheme="minorHAnsi"/>
                <w:sz w:val="24"/>
                <w:szCs w:val="24"/>
              </w:rPr>
              <w:t>±</w:t>
            </w:r>
            <w:r w:rsidRPr="005E12E9">
              <w:rPr>
                <w:sz w:val="24"/>
                <w:szCs w:val="24"/>
              </w:rPr>
              <w:t>1.35)</w:t>
            </w:r>
          </w:p>
        </w:tc>
        <w:tc>
          <w:tcPr>
            <w:tcW w:w="1791" w:type="dxa"/>
            <w:noWrap/>
            <w:hideMark/>
          </w:tcPr>
          <w:p w14:paraId="6AE6BC09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44.4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1.93)</w:t>
            </w:r>
          </w:p>
        </w:tc>
        <w:tc>
          <w:tcPr>
            <w:tcW w:w="1791" w:type="dxa"/>
            <w:noWrap/>
            <w:hideMark/>
          </w:tcPr>
          <w:p w14:paraId="30C88BFF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38.8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0.47)</w:t>
            </w:r>
          </w:p>
        </w:tc>
        <w:tc>
          <w:tcPr>
            <w:tcW w:w="1791" w:type="dxa"/>
            <w:noWrap/>
            <w:hideMark/>
          </w:tcPr>
          <w:p w14:paraId="18AF90AD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0035CF">
              <w:rPr>
                <w:color w:val="2E74B5" w:themeColor="accent1" w:themeShade="BF"/>
                <w:sz w:val="24"/>
                <w:szCs w:val="24"/>
              </w:rPr>
              <w:t>32.8 (</w:t>
            </w:r>
            <w:r w:rsidRPr="000035CF">
              <w:rPr>
                <w:rFonts w:cstheme="minorHAnsi"/>
                <w:color w:val="2E74B5" w:themeColor="accent1" w:themeShade="BF"/>
                <w:sz w:val="24"/>
                <w:szCs w:val="24"/>
              </w:rPr>
              <w:t>±</w:t>
            </w:r>
            <w:r w:rsidRPr="000035CF">
              <w:rPr>
                <w:color w:val="2E74B5" w:themeColor="accent1" w:themeShade="BF"/>
                <w:sz w:val="24"/>
                <w:szCs w:val="24"/>
              </w:rPr>
              <w:t>2.47)</w:t>
            </w:r>
          </w:p>
        </w:tc>
      </w:tr>
      <w:tr w:rsidR="009407D0" w:rsidRPr="005E12E9" w14:paraId="059E26EE" w14:textId="77777777" w:rsidTr="00EC15A2">
        <w:trPr>
          <w:trHeight w:val="369"/>
        </w:trPr>
        <w:tc>
          <w:tcPr>
            <w:tcW w:w="1129" w:type="dxa"/>
            <w:noWrap/>
            <w:hideMark/>
          </w:tcPr>
          <w:p w14:paraId="2705E3EA" w14:textId="77777777" w:rsidR="009407D0" w:rsidRPr="005E12E9" w:rsidRDefault="009407D0" w:rsidP="00EC15A2">
            <w:pPr>
              <w:rPr>
                <w:b/>
                <w:sz w:val="24"/>
                <w:szCs w:val="24"/>
              </w:rPr>
            </w:pPr>
            <w:r w:rsidRPr="005E12E9">
              <w:rPr>
                <w:b/>
                <w:sz w:val="24"/>
                <w:szCs w:val="24"/>
              </w:rPr>
              <w:t>Polyploidy</w:t>
            </w:r>
          </w:p>
        </w:tc>
        <w:tc>
          <w:tcPr>
            <w:tcW w:w="2147" w:type="dxa"/>
            <w:noWrap/>
            <w:hideMark/>
          </w:tcPr>
          <w:p w14:paraId="28055C3B" w14:textId="77777777" w:rsidR="009407D0" w:rsidRPr="005E12E9" w:rsidRDefault="009407D0" w:rsidP="00EC15A2">
            <w:pPr>
              <w:jc w:val="center"/>
              <w:rPr>
                <w:sz w:val="24"/>
                <w:szCs w:val="24"/>
              </w:rPr>
            </w:pPr>
            <w:r w:rsidRPr="005E12E9">
              <w:rPr>
                <w:sz w:val="24"/>
                <w:szCs w:val="24"/>
              </w:rPr>
              <w:t>3.9 (</w:t>
            </w:r>
            <w:r w:rsidRPr="005E12E9">
              <w:rPr>
                <w:rFonts w:cstheme="minorHAnsi"/>
                <w:sz w:val="24"/>
                <w:szCs w:val="24"/>
              </w:rPr>
              <w:t>±</w:t>
            </w:r>
            <w:r w:rsidRPr="005E12E9">
              <w:rPr>
                <w:sz w:val="24"/>
                <w:szCs w:val="24"/>
              </w:rPr>
              <w:t>0.12)</w:t>
            </w:r>
          </w:p>
        </w:tc>
        <w:tc>
          <w:tcPr>
            <w:tcW w:w="1791" w:type="dxa"/>
            <w:noWrap/>
            <w:hideMark/>
          </w:tcPr>
          <w:p w14:paraId="70AFFD33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8.4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0.35)</w:t>
            </w:r>
          </w:p>
        </w:tc>
        <w:tc>
          <w:tcPr>
            <w:tcW w:w="1791" w:type="dxa"/>
            <w:noWrap/>
            <w:hideMark/>
          </w:tcPr>
          <w:p w14:paraId="2A918F74" w14:textId="77777777" w:rsidR="009407D0" w:rsidRPr="000035CF" w:rsidRDefault="009407D0" w:rsidP="00EC15A2">
            <w:pPr>
              <w:jc w:val="center"/>
              <w:rPr>
                <w:color w:val="FF0000"/>
                <w:sz w:val="24"/>
                <w:szCs w:val="24"/>
              </w:rPr>
            </w:pPr>
            <w:r w:rsidRPr="000035CF">
              <w:rPr>
                <w:color w:val="FF0000"/>
                <w:sz w:val="24"/>
                <w:szCs w:val="24"/>
              </w:rPr>
              <w:t>6.9 (</w:t>
            </w:r>
            <w:r w:rsidRPr="000035CF">
              <w:rPr>
                <w:rFonts w:cstheme="minorHAnsi"/>
                <w:color w:val="FF0000"/>
                <w:sz w:val="24"/>
                <w:szCs w:val="24"/>
              </w:rPr>
              <w:t>±</w:t>
            </w:r>
            <w:r w:rsidRPr="000035CF">
              <w:rPr>
                <w:color w:val="FF0000"/>
                <w:sz w:val="24"/>
                <w:szCs w:val="24"/>
              </w:rPr>
              <w:t>0.97)</w:t>
            </w:r>
          </w:p>
        </w:tc>
        <w:tc>
          <w:tcPr>
            <w:tcW w:w="1791" w:type="dxa"/>
            <w:noWrap/>
            <w:hideMark/>
          </w:tcPr>
          <w:p w14:paraId="2D392DC8" w14:textId="77777777" w:rsidR="009407D0" w:rsidRPr="00212A48" w:rsidRDefault="009407D0" w:rsidP="00EC15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A48">
              <w:rPr>
                <w:b/>
                <w:color w:val="FF0000"/>
                <w:sz w:val="24"/>
                <w:szCs w:val="24"/>
              </w:rPr>
              <w:t>11.8 (</w:t>
            </w:r>
            <w:r w:rsidRPr="00212A48">
              <w:rPr>
                <w:rFonts w:cstheme="minorHAnsi"/>
                <w:b/>
                <w:color w:val="FF0000"/>
                <w:sz w:val="24"/>
                <w:szCs w:val="24"/>
              </w:rPr>
              <w:t>±</w:t>
            </w:r>
            <w:r w:rsidRPr="00212A48">
              <w:rPr>
                <w:b/>
                <w:color w:val="FF0000"/>
                <w:sz w:val="24"/>
                <w:szCs w:val="24"/>
              </w:rPr>
              <w:t>1.16)</w:t>
            </w:r>
          </w:p>
        </w:tc>
      </w:tr>
    </w:tbl>
    <w:p w14:paraId="1F4820B3" w14:textId="01A44BF8" w:rsidR="009407D0" w:rsidRDefault="009407D0">
      <w:pPr>
        <w:rPr>
          <w:sz w:val="24"/>
          <w:szCs w:val="24"/>
        </w:rPr>
      </w:pPr>
      <w:r w:rsidRPr="005E12E9">
        <w:rPr>
          <w:sz w:val="24"/>
          <w:szCs w:val="24"/>
        </w:rPr>
        <w:fldChar w:fldCharType="end"/>
      </w:r>
    </w:p>
    <w:p w14:paraId="17031BD3" w14:textId="3F350746" w:rsidR="00D01161" w:rsidRDefault="00D01161">
      <w:pPr>
        <w:rPr>
          <w:sz w:val="24"/>
          <w:szCs w:val="24"/>
        </w:rPr>
      </w:pPr>
    </w:p>
    <w:p w14:paraId="35D9B61B" w14:textId="77777777" w:rsidR="00D01161" w:rsidRPr="00D01161" w:rsidRDefault="00D01161">
      <w:pPr>
        <w:rPr>
          <w:sz w:val="24"/>
          <w:szCs w:val="24"/>
        </w:rPr>
      </w:pPr>
      <w:bookmarkStart w:id="0" w:name="_GoBack"/>
      <w:bookmarkEnd w:id="0"/>
    </w:p>
    <w:sectPr w:rsidR="00D01161" w:rsidRPr="00D01161" w:rsidSect="007C0B53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3393" w14:textId="77777777" w:rsidR="00781330" w:rsidRDefault="00781330" w:rsidP="001A6B66">
      <w:pPr>
        <w:spacing w:after="0" w:line="240" w:lineRule="auto"/>
      </w:pPr>
      <w:r>
        <w:separator/>
      </w:r>
    </w:p>
  </w:endnote>
  <w:endnote w:type="continuationSeparator" w:id="0">
    <w:p w14:paraId="331B9EB5" w14:textId="77777777" w:rsidR="00781330" w:rsidRDefault="00781330" w:rsidP="001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19C19" w14:textId="7096DB65" w:rsidR="00AE0F17" w:rsidRDefault="00AE0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A08F8" w14:textId="77777777" w:rsidR="00AE0F17" w:rsidRDefault="00AE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8DB4" w14:textId="77777777" w:rsidR="00781330" w:rsidRDefault="00781330" w:rsidP="001A6B66">
      <w:pPr>
        <w:spacing w:after="0" w:line="240" w:lineRule="auto"/>
      </w:pPr>
      <w:r>
        <w:separator/>
      </w:r>
    </w:p>
  </w:footnote>
  <w:footnote w:type="continuationSeparator" w:id="0">
    <w:p w14:paraId="21DD2D84" w14:textId="77777777" w:rsidR="00781330" w:rsidRDefault="00781330" w:rsidP="001A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19"/>
    <w:multiLevelType w:val="hybridMultilevel"/>
    <w:tmpl w:val="02A23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F6D73"/>
    <w:multiLevelType w:val="hybridMultilevel"/>
    <w:tmpl w:val="6E34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C8B"/>
    <w:multiLevelType w:val="hybridMultilevel"/>
    <w:tmpl w:val="E0A8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992"/>
    <w:multiLevelType w:val="hybridMultilevel"/>
    <w:tmpl w:val="4E12666A"/>
    <w:lvl w:ilvl="0" w:tplc="E12E5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36FCB"/>
    <w:multiLevelType w:val="hybridMultilevel"/>
    <w:tmpl w:val="47DC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0x50xv5rf22je9vz2pr59hdwtd2tp9dssw&quot;&gt;CRISPR in vivo&lt;record-ids&gt;&lt;item&gt;5&lt;/item&gt;&lt;item&gt;35&lt;/item&gt;&lt;item&gt;39&lt;/item&gt;&lt;item&gt;45&lt;/item&gt;&lt;item&gt;46&lt;/item&gt;&lt;item&gt;51&lt;/item&gt;&lt;item&gt;52&lt;/item&gt;&lt;item&gt;53&lt;/item&gt;&lt;item&gt;54&lt;/item&gt;&lt;item&gt;55&lt;/item&gt;&lt;item&gt;57&lt;/item&gt;&lt;item&gt;58&lt;/item&gt;&lt;item&gt;64&lt;/item&gt;&lt;item&gt;65&lt;/item&gt;&lt;item&gt;66&lt;/item&gt;&lt;item&gt;67&lt;/item&gt;&lt;item&gt;68&lt;/item&gt;&lt;item&gt;69&lt;/item&gt;&lt;/record-ids&gt;&lt;/item&gt;&lt;/Libraries&gt;"/>
  </w:docVars>
  <w:rsids>
    <w:rsidRoot w:val="00CA61DA"/>
    <w:rsid w:val="00056B0A"/>
    <w:rsid w:val="0005701B"/>
    <w:rsid w:val="00074D9D"/>
    <w:rsid w:val="000802CC"/>
    <w:rsid w:val="000D2887"/>
    <w:rsid w:val="00126B27"/>
    <w:rsid w:val="00137114"/>
    <w:rsid w:val="0015726B"/>
    <w:rsid w:val="00162B26"/>
    <w:rsid w:val="00190212"/>
    <w:rsid w:val="001A119F"/>
    <w:rsid w:val="001A1E8E"/>
    <w:rsid w:val="001A6B66"/>
    <w:rsid w:val="001C2174"/>
    <w:rsid w:val="001C732D"/>
    <w:rsid w:val="00212A48"/>
    <w:rsid w:val="002635AE"/>
    <w:rsid w:val="002A1E13"/>
    <w:rsid w:val="002A2DD2"/>
    <w:rsid w:val="002B0D25"/>
    <w:rsid w:val="002B6F92"/>
    <w:rsid w:val="002E495B"/>
    <w:rsid w:val="003201DF"/>
    <w:rsid w:val="0034776F"/>
    <w:rsid w:val="00353D2C"/>
    <w:rsid w:val="00355D67"/>
    <w:rsid w:val="00360BC0"/>
    <w:rsid w:val="003B7EC6"/>
    <w:rsid w:val="00401E81"/>
    <w:rsid w:val="00414A9E"/>
    <w:rsid w:val="00447723"/>
    <w:rsid w:val="00462CA6"/>
    <w:rsid w:val="00462D44"/>
    <w:rsid w:val="00470F4F"/>
    <w:rsid w:val="004F716A"/>
    <w:rsid w:val="00623445"/>
    <w:rsid w:val="00634CFF"/>
    <w:rsid w:val="00637481"/>
    <w:rsid w:val="006D0D6D"/>
    <w:rsid w:val="006F585F"/>
    <w:rsid w:val="00755338"/>
    <w:rsid w:val="00760B74"/>
    <w:rsid w:val="0076487D"/>
    <w:rsid w:val="00781330"/>
    <w:rsid w:val="0079556D"/>
    <w:rsid w:val="00797B9B"/>
    <w:rsid w:val="007B014B"/>
    <w:rsid w:val="007C0B53"/>
    <w:rsid w:val="007D1380"/>
    <w:rsid w:val="0082455D"/>
    <w:rsid w:val="008270DB"/>
    <w:rsid w:val="008E0EBA"/>
    <w:rsid w:val="008E48FE"/>
    <w:rsid w:val="008F770E"/>
    <w:rsid w:val="00900FA2"/>
    <w:rsid w:val="009146D8"/>
    <w:rsid w:val="00920DA3"/>
    <w:rsid w:val="009407D0"/>
    <w:rsid w:val="00953F8F"/>
    <w:rsid w:val="009636E8"/>
    <w:rsid w:val="009A59BD"/>
    <w:rsid w:val="009E237B"/>
    <w:rsid w:val="00A00788"/>
    <w:rsid w:val="00A4286E"/>
    <w:rsid w:val="00A706C6"/>
    <w:rsid w:val="00A85A21"/>
    <w:rsid w:val="00AC3BF9"/>
    <w:rsid w:val="00AD3455"/>
    <w:rsid w:val="00AE0F17"/>
    <w:rsid w:val="00AE33AD"/>
    <w:rsid w:val="00B2196B"/>
    <w:rsid w:val="00B2734A"/>
    <w:rsid w:val="00B319E5"/>
    <w:rsid w:val="00B37FF4"/>
    <w:rsid w:val="00B467D4"/>
    <w:rsid w:val="00B46FAB"/>
    <w:rsid w:val="00B751E9"/>
    <w:rsid w:val="00BC5B50"/>
    <w:rsid w:val="00C60FED"/>
    <w:rsid w:val="00C739AD"/>
    <w:rsid w:val="00CA61DA"/>
    <w:rsid w:val="00CB462E"/>
    <w:rsid w:val="00CF5FB2"/>
    <w:rsid w:val="00D01161"/>
    <w:rsid w:val="00D21402"/>
    <w:rsid w:val="00D27850"/>
    <w:rsid w:val="00D85AB6"/>
    <w:rsid w:val="00DA055A"/>
    <w:rsid w:val="00DA1A18"/>
    <w:rsid w:val="00DB2C08"/>
    <w:rsid w:val="00DC00C4"/>
    <w:rsid w:val="00E1502C"/>
    <w:rsid w:val="00E33405"/>
    <w:rsid w:val="00E745EB"/>
    <w:rsid w:val="00E87AE4"/>
    <w:rsid w:val="00E91579"/>
    <w:rsid w:val="00EC15A2"/>
    <w:rsid w:val="00F13F32"/>
    <w:rsid w:val="00F15FF0"/>
    <w:rsid w:val="00F5035D"/>
    <w:rsid w:val="00F503B7"/>
    <w:rsid w:val="00F85F5D"/>
    <w:rsid w:val="00FA3855"/>
    <w:rsid w:val="00FB4047"/>
    <w:rsid w:val="00FD5B23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F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E48FE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E48FE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E23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23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23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23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E2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66"/>
  </w:style>
  <w:style w:type="paragraph" w:styleId="Footer">
    <w:name w:val="footer"/>
    <w:basedOn w:val="Normal"/>
    <w:link w:val="FooterChar"/>
    <w:uiPriority w:val="99"/>
    <w:unhideWhenUsed/>
    <w:rsid w:val="001A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66"/>
  </w:style>
  <w:style w:type="character" w:customStyle="1" w:styleId="Heading3Char">
    <w:name w:val="Heading 3 Char"/>
    <w:basedOn w:val="DefaultParagraphFont"/>
    <w:link w:val="Heading3"/>
    <w:uiPriority w:val="9"/>
    <w:rsid w:val="00DB2C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DB2C08"/>
    <w:rPr>
      <w:i/>
      <w:iCs/>
    </w:rPr>
  </w:style>
  <w:style w:type="paragraph" w:styleId="NoSpacing">
    <w:name w:val="No Spacing"/>
    <w:uiPriority w:val="1"/>
    <w:qFormat/>
    <w:rsid w:val="00A85A21"/>
    <w:pPr>
      <w:spacing w:after="0" w:line="240" w:lineRule="auto"/>
    </w:pPr>
  </w:style>
  <w:style w:type="character" w:customStyle="1" w:styleId="InternetLink">
    <w:name w:val="Internet Link"/>
    <w:basedOn w:val="DefaultParagraphFont"/>
    <w:rsid w:val="00B467D4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AE0F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96AD-1DA2-41DF-A631-EF1638F0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Rushworth</dc:creator>
  <cp:keywords/>
  <dc:description/>
  <cp:lastModifiedBy>15325</cp:lastModifiedBy>
  <cp:revision>13</cp:revision>
  <dcterms:created xsi:type="dcterms:W3CDTF">2020-08-21T12:45:00Z</dcterms:created>
  <dcterms:modified xsi:type="dcterms:W3CDTF">2020-10-01T04:53:00Z</dcterms:modified>
</cp:coreProperties>
</file>