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5C" w:rsidRPr="008636D1" w:rsidRDefault="008E2D5C" w:rsidP="003C76ED">
      <w:pPr>
        <w:pStyle w:val="dummy"/>
      </w:pPr>
      <w:bookmarkStart w:id="0" w:name="Line_manuscript_246"/>
      <w:bookmarkEnd w:id="0"/>
      <w:r w:rsidRPr="008636D1">
        <w:rPr>
          <w:rFonts w:ascii="Arial" w:hAnsi="Arial" w:cs="Arial"/>
        </w:rPr>
        <w:t>Supplementary Material</w:t>
      </w:r>
    </w:p>
    <w:p w:rsidR="008E2D5C" w:rsidRPr="008636D1" w:rsidRDefault="008E2D5C" w:rsidP="00610A71">
      <w:pPr>
        <w:pStyle w:val="sectiona"/>
      </w:pPr>
      <w:r w:rsidRPr="008636D1">
        <w:rPr>
          <w:rFonts w:ascii="Arial" w:hAnsi="Arial" w:cs="Arial"/>
          <w:sz w:val="24"/>
        </w:rPr>
        <w:t>Materials and Methods</w:t>
      </w:r>
      <w:bookmarkStart w:id="1" w:name="Line_manuscript_247"/>
      <w:bookmarkEnd w:id="1"/>
    </w:p>
    <w:p w:rsidR="008E2D5C" w:rsidRPr="008636D1" w:rsidRDefault="008E2D5C" w:rsidP="001C1C96">
      <w:pPr>
        <w:pStyle w:val="sectionb"/>
      </w:pPr>
      <w:bookmarkStart w:id="2" w:name="Line_manuscript_248"/>
      <w:bookmarkEnd w:id="2"/>
      <w:r w:rsidRPr="008636D1">
        <w:t>Mice</w:t>
      </w:r>
    </w:p>
    <w:p w:rsidR="008E2D5C" w:rsidRPr="008636D1" w:rsidRDefault="008E2D5C" w:rsidP="00610A71">
      <w:pPr>
        <w:pStyle w:val="paragraph"/>
      </w:pPr>
      <w:r w:rsidRPr="008636D1">
        <w:rPr>
          <w:rFonts w:ascii="Arial" w:hAnsi="Arial" w:cs="Arial"/>
          <w:i/>
          <w:szCs w:val="21"/>
        </w:rPr>
        <w:t>Akt1</w:t>
      </w:r>
      <w:r w:rsidRPr="008636D1">
        <w:rPr>
          <w:rFonts w:ascii="Arial" w:hAnsi="Arial" w:cs="Arial"/>
          <w:szCs w:val="21"/>
          <w:vertAlign w:val="superscript"/>
        </w:rPr>
        <w:t xml:space="preserve">f/f </w:t>
      </w:r>
      <w:r w:rsidRPr="008636D1">
        <w:rPr>
          <w:rFonts w:ascii="Arial" w:hAnsi="Arial" w:cs="Arial"/>
          <w:noProof/>
          <w:szCs w:val="21"/>
        </w:rPr>
        <w:t>(Cho et al, 2001)</w:t>
      </w:r>
      <w:r w:rsidRPr="008636D1">
        <w:rPr>
          <w:rFonts w:ascii="Arial" w:hAnsi="Arial" w:cs="Arial"/>
          <w:szCs w:val="21"/>
        </w:rPr>
        <w:t xml:space="preserve">, </w:t>
      </w:r>
      <w:r w:rsidRPr="008636D1">
        <w:rPr>
          <w:rFonts w:ascii="Arial" w:hAnsi="Arial" w:cs="Arial"/>
          <w:i/>
          <w:szCs w:val="21"/>
        </w:rPr>
        <w:t>Akt2</w:t>
      </w:r>
      <w:r w:rsidRPr="008636D1">
        <w:rPr>
          <w:rFonts w:ascii="Arial" w:hAnsi="Arial" w:cs="Arial"/>
          <w:szCs w:val="21"/>
          <w:vertAlign w:val="superscript"/>
        </w:rPr>
        <w:t xml:space="preserve">-/- </w:t>
      </w:r>
      <w:r w:rsidRPr="008636D1">
        <w:rPr>
          <w:rFonts w:ascii="Arial" w:hAnsi="Arial" w:cs="Arial"/>
          <w:noProof/>
          <w:szCs w:val="21"/>
        </w:rPr>
        <w:t>(Dummler et al, 2006)</w:t>
      </w:r>
      <w:r w:rsidRPr="008636D1">
        <w:rPr>
          <w:rFonts w:ascii="Arial" w:hAnsi="Arial" w:cs="Arial"/>
          <w:szCs w:val="21"/>
        </w:rPr>
        <w:t>, and </w:t>
      </w:r>
      <w:r w:rsidRPr="008636D1">
        <w:rPr>
          <w:rFonts w:ascii="Arial" w:hAnsi="Arial" w:cs="Arial"/>
          <w:i/>
          <w:szCs w:val="21"/>
        </w:rPr>
        <w:t>Akt3</w:t>
      </w:r>
      <w:r w:rsidRPr="008636D1">
        <w:rPr>
          <w:rFonts w:ascii="Arial" w:hAnsi="Arial" w:cs="Arial"/>
          <w:szCs w:val="21"/>
          <w:vertAlign w:val="superscript"/>
        </w:rPr>
        <w:t xml:space="preserve">-/- </w:t>
      </w:r>
      <w:r w:rsidRPr="008636D1">
        <w:rPr>
          <w:rFonts w:ascii="Arial" w:hAnsi="Arial" w:cs="Arial"/>
          <w:noProof/>
          <w:szCs w:val="21"/>
        </w:rPr>
        <w:t>(Tschopp et al, 2005)</w:t>
      </w:r>
      <w:r w:rsidRPr="008636D1">
        <w:rPr>
          <w:rFonts w:ascii="Arial" w:hAnsi="Arial" w:cs="Arial"/>
          <w:szCs w:val="21"/>
          <w:vertAlign w:val="superscript"/>
        </w:rPr>
        <w:t xml:space="preserve"> </w:t>
      </w:r>
      <w:r w:rsidRPr="008636D1">
        <w:rPr>
          <w:rFonts w:ascii="Arial" w:hAnsi="Arial" w:cs="Arial"/>
          <w:szCs w:val="21"/>
        </w:rPr>
        <w:t>were kindly provided by Dr. Morris J. Birnbaum (</w:t>
      </w:r>
      <w:smartTag w:uri="urn:schemas-microsoft-com:office:smarttags" w:element="City">
        <w:smartTag w:uri="urn:schemas-microsoft-com:office:smarttags" w:element="place">
          <w:r w:rsidRPr="008636D1">
            <w:rPr>
              <w:rFonts w:ascii="Arial" w:hAnsi="Arial" w:cs="Arial"/>
              <w:szCs w:val="21"/>
            </w:rPr>
            <w:t>University of Pennsylvania</w:t>
          </w:r>
        </w:smartTag>
        <w:r w:rsidRPr="008636D1">
          <w:rPr>
            <w:rFonts w:ascii="Arial" w:hAnsi="Arial" w:cs="Arial"/>
            <w:szCs w:val="21"/>
          </w:rPr>
          <w:t xml:space="preserve">, </w:t>
        </w:r>
        <w:smartTag w:uri="urn:schemas-microsoft-com:office:smarttags" w:element="country-region">
          <w:r w:rsidRPr="008636D1">
            <w:rPr>
              <w:rFonts w:ascii="Arial" w:hAnsi="Arial" w:cs="Arial"/>
              <w:szCs w:val="21"/>
            </w:rPr>
            <w:t>USA</w:t>
          </w:r>
        </w:smartTag>
      </w:smartTag>
      <w:r w:rsidRPr="008636D1">
        <w:rPr>
          <w:rFonts w:ascii="Arial" w:hAnsi="Arial" w:cs="Arial"/>
          <w:szCs w:val="21"/>
        </w:rPr>
        <w:t xml:space="preserve">). </w:t>
      </w:r>
      <w:r w:rsidRPr="008636D1">
        <w:rPr>
          <w:rFonts w:ascii="Arial" w:hAnsi="Arial" w:cs="Arial"/>
          <w:i/>
          <w:szCs w:val="21"/>
        </w:rPr>
        <w:t>Bcl2</w:t>
      </w:r>
      <w:r w:rsidRPr="008636D1">
        <w:rPr>
          <w:rFonts w:ascii="Arial" w:hAnsi="Arial" w:cs="Arial"/>
          <w:szCs w:val="21"/>
        </w:rPr>
        <w:t xml:space="preserve"> transgenic mice (</w:t>
      </w:r>
      <w:r w:rsidRPr="008636D1">
        <w:rPr>
          <w:rFonts w:ascii="Arial" w:hAnsi="Arial" w:cs="Arial"/>
          <w:i/>
          <w:szCs w:val="21"/>
        </w:rPr>
        <w:t>E</w:t>
      </w:r>
      <w:r w:rsidRPr="008636D1">
        <w:rPr>
          <w:rStyle w:val="STIX"/>
          <w:rFonts w:hint="eastAsia"/>
          <w:i/>
          <w:szCs w:val="21"/>
          <w:shd w:val="clear" w:color="auto" w:fill="00CC99"/>
        </w:rPr>
        <w:t>μ</w:t>
      </w:r>
      <w:r w:rsidRPr="008636D1">
        <w:rPr>
          <w:rFonts w:ascii="Arial" w:hAnsi="Arial" w:cs="Arial"/>
          <w:i/>
          <w:szCs w:val="21"/>
        </w:rPr>
        <w:t>-bcl-2-22</w:t>
      </w:r>
      <w:r w:rsidRPr="008636D1">
        <w:rPr>
          <w:rFonts w:ascii="Arial" w:hAnsi="Arial" w:cs="Arial"/>
          <w:szCs w:val="21"/>
        </w:rPr>
        <w:t xml:space="preserve">) (#002319) were purchased from The Jackson Laboratory. </w:t>
      </w:r>
      <w:r w:rsidRPr="008636D1">
        <w:rPr>
          <w:rFonts w:ascii="Arial" w:hAnsi="Arial" w:cs="Arial"/>
          <w:i/>
          <w:szCs w:val="21"/>
        </w:rPr>
        <w:t>CD19</w:t>
      </w:r>
      <w:r w:rsidRPr="008636D1">
        <w:rPr>
          <w:rFonts w:ascii="Arial" w:hAnsi="Arial" w:cs="Arial"/>
          <w:szCs w:val="21"/>
          <w:vertAlign w:val="superscript"/>
        </w:rPr>
        <w:t xml:space="preserve">Cre </w:t>
      </w:r>
      <w:r w:rsidRPr="008636D1">
        <w:rPr>
          <w:rFonts w:ascii="Arial" w:hAnsi="Arial" w:cs="Arial"/>
          <w:noProof/>
          <w:szCs w:val="21"/>
        </w:rPr>
        <w:t>(Rickert et al, 1997)</w:t>
      </w:r>
      <w:r w:rsidRPr="008636D1">
        <w:rPr>
          <w:rFonts w:ascii="Arial" w:hAnsi="Arial" w:cs="Arial"/>
          <w:szCs w:val="21"/>
        </w:rPr>
        <w:t xml:space="preserve"> and </w:t>
      </w:r>
      <w:r w:rsidRPr="008636D1">
        <w:rPr>
          <w:rFonts w:ascii="Arial" w:hAnsi="Arial" w:cs="Arial"/>
          <w:i/>
          <w:szCs w:val="21"/>
        </w:rPr>
        <w:t>C</w:t>
      </w:r>
      <w:r w:rsidRPr="008636D1">
        <w:rPr>
          <w:rStyle w:val="STIX"/>
          <w:rFonts w:hint="eastAsia"/>
          <w:i/>
          <w:szCs w:val="21"/>
          <w:shd w:val="clear" w:color="auto" w:fill="00CC99"/>
        </w:rPr>
        <w:t>γ</w:t>
      </w:r>
      <w:r w:rsidRPr="008636D1">
        <w:rPr>
          <w:rFonts w:ascii="Arial" w:hAnsi="Arial" w:cs="Arial"/>
          <w:i/>
          <w:szCs w:val="21"/>
        </w:rPr>
        <w:t>1</w:t>
      </w:r>
      <w:r w:rsidRPr="008636D1">
        <w:rPr>
          <w:rFonts w:ascii="Arial" w:hAnsi="Arial" w:cs="Arial"/>
          <w:szCs w:val="21"/>
          <w:vertAlign w:val="superscript"/>
        </w:rPr>
        <w:t xml:space="preserve">Cre </w:t>
      </w:r>
      <w:r w:rsidRPr="008636D1">
        <w:rPr>
          <w:rFonts w:ascii="Arial" w:hAnsi="Arial" w:cs="Arial"/>
          <w:noProof/>
          <w:szCs w:val="21"/>
        </w:rPr>
        <w:t>(Casola et al, 2006)</w:t>
      </w:r>
      <w:r w:rsidRPr="008636D1">
        <w:rPr>
          <w:rFonts w:ascii="Arial" w:hAnsi="Arial" w:cs="Arial"/>
          <w:szCs w:val="21"/>
        </w:rPr>
        <w:t xml:space="preserve"> mice have been previously described. All studies and procedures were conducted with mice 8-16 wks of age and approved by the Animal Review Committee in SBP. </w:t>
      </w:r>
      <w:bookmarkStart w:id="3" w:name="Line_manuscript_249"/>
      <w:bookmarkEnd w:id="3"/>
    </w:p>
    <w:p w:rsidR="008E2D5C" w:rsidRPr="008636D1" w:rsidRDefault="008E2D5C" w:rsidP="001C1C96">
      <w:pPr>
        <w:pStyle w:val="sectionb"/>
      </w:pPr>
      <w:r w:rsidRPr="008636D1">
        <w:rPr>
          <w:rFonts w:ascii="Arial" w:hAnsi="Arial" w:cs="Arial"/>
          <w:szCs w:val="21"/>
        </w:rPr>
        <w:t>Flow cytometry analysis</w:t>
      </w:r>
      <w:bookmarkStart w:id="4" w:name="Line_manuscript_250"/>
      <w:bookmarkEnd w:id="4"/>
    </w:p>
    <w:p w:rsidR="008E2D5C" w:rsidRPr="008636D1" w:rsidRDefault="008E2D5C" w:rsidP="001C1C96">
      <w:pPr>
        <w:pStyle w:val="paragraph"/>
      </w:pPr>
      <w:bookmarkStart w:id="5" w:name="Line_manuscript_251"/>
      <w:bookmarkEnd w:id="5"/>
      <w:r w:rsidRPr="008636D1">
        <w:rPr>
          <w:rFonts w:ascii="Arial" w:hAnsi="Arial" w:cs="Arial"/>
          <w:szCs w:val="21"/>
        </w:rPr>
        <w:t xml:space="preserve">Mouse splenic B cells were purified by negative selection using CD43-specific beads, followed by separation on MACS columns (Miltenyi Biotec). B cell purity was &gt;98% as measured by FACS analysis using anti-B220 antibody (Thermo Fisher Scientific). </w:t>
      </w:r>
    </w:p>
    <w:p w:rsidR="008E2D5C" w:rsidRPr="008636D1" w:rsidRDefault="008E2D5C" w:rsidP="00610A71">
      <w:pPr>
        <w:pStyle w:val="paragraph"/>
      </w:pPr>
      <w:r w:rsidRPr="008636D1">
        <w:rPr>
          <w:rFonts w:ascii="Arial" w:hAnsi="Arial" w:cs="Arial"/>
          <w:szCs w:val="21"/>
        </w:rPr>
        <w:t xml:space="preserve">For surface staining, cells were blocked with anti-CD16/32 (clone 2.4G2; BD Biosciences) and stained with the indicated combination of fluorochrome conjugated antibodies for 30 min on ice. The following antibodies were obtained from Thermo Fisher Scientific: anti-B220 (clone: RA3-6B2), -IgM (clone: II/41), -CD69 (H1.2F3), -CD86 (clone: PO3.1), </w:t>
      </w:r>
      <w:r w:rsidRPr="00CF690A">
        <w:rPr>
          <w:rFonts w:ascii="Arial" w:hAnsi="Arial" w:cs="Arial"/>
          <w:szCs w:val="21"/>
        </w:rPr>
        <w:t>-GL7 (clone: GL-7 (GL7))</w:t>
      </w:r>
      <w:r>
        <w:rPr>
          <w:rFonts w:ascii="Arial" w:hAnsi="Arial" w:cs="Arial"/>
          <w:szCs w:val="21"/>
        </w:rPr>
        <w:t xml:space="preserve">, </w:t>
      </w:r>
      <w:r w:rsidRPr="008636D1">
        <w:rPr>
          <w:rFonts w:ascii="Arial" w:hAnsi="Arial" w:cs="Arial"/>
          <w:szCs w:val="21"/>
        </w:rPr>
        <w:t>-MHC class II (</w:t>
      </w:r>
      <w:r>
        <w:rPr>
          <w:rFonts w:ascii="Arial" w:hAnsi="Arial" w:cs="Arial"/>
          <w:szCs w:val="21"/>
        </w:rPr>
        <w:t xml:space="preserve">clone: </w:t>
      </w:r>
      <w:r w:rsidRPr="008636D1">
        <w:rPr>
          <w:rFonts w:ascii="Arial" w:hAnsi="Arial" w:cs="Arial"/>
          <w:szCs w:val="21"/>
        </w:rPr>
        <w:t>M5/114.15.2), anti-AA4.1 (clone: AA4.1). Anti-CD43 (clone: S7)</w:t>
      </w:r>
      <w:r>
        <w:rPr>
          <w:rFonts w:ascii="Arial" w:hAnsi="Arial" w:cs="Arial"/>
          <w:szCs w:val="21"/>
        </w:rPr>
        <w:t xml:space="preserve">, </w:t>
      </w:r>
      <w:r w:rsidRPr="008636D1">
        <w:rPr>
          <w:rFonts w:ascii="Arial" w:hAnsi="Arial" w:cs="Arial"/>
          <w:szCs w:val="21"/>
        </w:rPr>
        <w:t>-CD80 (clone: 16-10A1)</w:t>
      </w:r>
      <w:r>
        <w:rPr>
          <w:rFonts w:ascii="Arial" w:hAnsi="Arial" w:cs="Arial"/>
          <w:szCs w:val="21"/>
        </w:rPr>
        <w:t>, -C</w:t>
      </w:r>
      <w:r w:rsidRPr="00EB70CC">
        <w:rPr>
          <w:rFonts w:ascii="Arial" w:hAnsi="Arial" w:cs="Arial"/>
          <w:szCs w:val="21"/>
        </w:rPr>
        <w:t>D184 </w:t>
      </w:r>
      <w:r>
        <w:rPr>
          <w:rFonts w:ascii="Arial" w:hAnsi="Arial" w:cs="Arial"/>
          <w:szCs w:val="21"/>
        </w:rPr>
        <w:t>(</w:t>
      </w:r>
      <w:r w:rsidRPr="00EB70CC">
        <w:rPr>
          <w:rFonts w:ascii="Arial" w:hAnsi="Arial" w:cs="Arial"/>
          <w:szCs w:val="21"/>
        </w:rPr>
        <w:t>Clone</w:t>
      </w:r>
      <w:r>
        <w:rPr>
          <w:rFonts w:ascii="Arial" w:hAnsi="Arial" w:cs="Arial"/>
          <w:szCs w:val="21"/>
        </w:rPr>
        <w:t>:</w:t>
      </w:r>
      <w:r w:rsidRPr="00EB70CC">
        <w:rPr>
          <w:rFonts w:ascii="Arial" w:hAnsi="Arial" w:cs="Arial"/>
          <w:szCs w:val="21"/>
        </w:rPr>
        <w:t> 2B11/CXCR4</w:t>
      </w:r>
      <w:r>
        <w:rPr>
          <w:rFonts w:ascii="Arial" w:hAnsi="Arial" w:cs="Arial"/>
          <w:szCs w:val="21"/>
        </w:rPr>
        <w:t xml:space="preserve">), </w:t>
      </w:r>
      <w:r w:rsidRPr="008636D1">
        <w:rPr>
          <w:rFonts w:ascii="Arial" w:hAnsi="Arial" w:cs="Arial"/>
          <w:szCs w:val="21"/>
        </w:rPr>
        <w:t xml:space="preserve">and </w:t>
      </w:r>
      <w:r>
        <w:rPr>
          <w:rFonts w:ascii="Arial" w:hAnsi="Arial" w:cs="Arial"/>
          <w:szCs w:val="21"/>
        </w:rPr>
        <w:t xml:space="preserve">-FAS (clone: </w:t>
      </w:r>
      <w:r w:rsidRPr="00CF690A">
        <w:rPr>
          <w:rFonts w:ascii="Arial" w:hAnsi="Arial" w:cs="Arial"/>
          <w:szCs w:val="21"/>
        </w:rPr>
        <w:t>Jo2)</w:t>
      </w:r>
      <w:r w:rsidRPr="008636D1">
        <w:rPr>
          <w:rFonts w:ascii="Arial" w:hAnsi="Arial" w:cs="Arial"/>
          <w:szCs w:val="21"/>
        </w:rPr>
        <w:t xml:space="preserve"> were purchased from BD Biosciences. Unconjugated anti-GLUT1 (clone: SA0377) was purchased from Invitrogen. </w:t>
      </w:r>
      <w:bookmarkStart w:id="6" w:name="Line_manuscript_252"/>
      <w:bookmarkEnd w:id="6"/>
    </w:p>
    <w:p w:rsidR="008E2D5C" w:rsidRPr="008636D1" w:rsidRDefault="008E2D5C" w:rsidP="00610A71">
      <w:pPr>
        <w:pStyle w:val="paragraph"/>
      </w:pPr>
      <w:r w:rsidRPr="008636D1">
        <w:rPr>
          <w:rFonts w:ascii="Arial" w:hAnsi="Arial" w:cs="Arial"/>
          <w:szCs w:val="21"/>
        </w:rPr>
        <w:t xml:space="preserve">For intracellular staining, cells were fixed and permeabilized using BD Cytofix/Cytoperm Buffer (BD Biosciences) for 15 min at room temperature. Cells were subsequently washed with 1 x BD Perm/Wash buffer (BD Biosciences) prior to staining with fluorochrome conjugated antibodies. The following antibodies were obtained from BD Biosciences: anti-p-BLNK (Y84) (clone: J117-1278), </w:t>
      </w:r>
      <w:hyperlink r:id="rId6" w:history="1">
        <w:r w:rsidRPr="008636D1">
          <w:rPr>
            <w:rFonts w:ascii="Arial" w:hAnsi="Arial" w:cs="Arial"/>
            <w:szCs w:val="21"/>
          </w:rPr>
          <w:t>-PLC-</w:t>
        </w:r>
        <w:r w:rsidRPr="008636D1">
          <w:rPr>
            <w:rStyle w:val="STIX"/>
            <w:rFonts w:hint="eastAsia"/>
            <w:szCs w:val="21"/>
            <w:shd w:val="clear" w:color="auto" w:fill="00CC99"/>
          </w:rPr>
          <w:t>γ</w:t>
        </w:r>
        <w:r w:rsidRPr="008636D1">
          <w:rPr>
            <w:rFonts w:ascii="Arial" w:hAnsi="Arial" w:cs="Arial"/>
            <w:szCs w:val="21"/>
          </w:rPr>
          <w:t>2 (pY759)</w:t>
        </w:r>
      </w:hyperlink>
      <w:r w:rsidRPr="008636D1">
        <w:rPr>
          <w:rFonts w:ascii="Arial" w:hAnsi="Arial" w:cs="Arial"/>
          <w:szCs w:val="21"/>
        </w:rPr>
        <w:t xml:space="preserve"> (clone: K86-689.37). Anti-p-Erk1/2 (T202/Y204) (Clone: D13.14.4E) were purchased from Cell Signaling Technology. </w:t>
      </w:r>
      <w:bookmarkStart w:id="7" w:name="Line_manuscript_253"/>
      <w:bookmarkEnd w:id="7"/>
    </w:p>
    <w:p w:rsidR="008E2D5C" w:rsidRPr="008636D1" w:rsidRDefault="008E2D5C" w:rsidP="001C1C96">
      <w:pPr>
        <w:pStyle w:val="paragraph"/>
      </w:pPr>
      <w:bookmarkStart w:id="8" w:name="Line_manuscript_254"/>
      <w:bookmarkEnd w:id="8"/>
      <w:r w:rsidRPr="008636D1">
        <w:rPr>
          <w:rFonts w:ascii="Arial" w:hAnsi="Arial" w:cs="Arial"/>
          <w:szCs w:val="21"/>
        </w:rPr>
        <w:t>All cells were acquired on a FACSCanto flow cytometer using the FACSDiva software (BD Biosciences) and data were analyzed using FlowJo software (Tree Star).</w:t>
      </w:r>
    </w:p>
    <w:p w:rsidR="008E2D5C" w:rsidRPr="008636D1" w:rsidRDefault="008E2D5C" w:rsidP="00610A71">
      <w:pPr>
        <w:pStyle w:val="sectionb"/>
      </w:pPr>
      <w:r w:rsidRPr="008636D1">
        <w:rPr>
          <w:rFonts w:ascii="Arial" w:hAnsi="Arial" w:cs="Arial"/>
          <w:szCs w:val="21"/>
        </w:rPr>
        <w:t>Immunizations and ELISA</w:t>
      </w:r>
      <w:bookmarkStart w:id="9" w:name="Line_manuscript_255"/>
      <w:bookmarkEnd w:id="9"/>
    </w:p>
    <w:p w:rsidR="008E2D5C" w:rsidRPr="008636D1" w:rsidRDefault="008E2D5C" w:rsidP="00610A71">
      <w:pPr>
        <w:pStyle w:val="paragraph"/>
      </w:pPr>
      <w:r w:rsidRPr="008636D1">
        <w:rPr>
          <w:rFonts w:ascii="Arial" w:hAnsi="Arial" w:cs="Arial"/>
          <w:szCs w:val="21"/>
        </w:rPr>
        <w:t>To study affinity maturation, mice were i.p. immunized with 50 μg alum precipitated NP25-CGG (Biosearch Technologies). Serum was collected on day 7, day 14, and day 21 after immunization. Antibody titers were determined by ELISA. NP4-BSA and NP23-BSA coated plates were used to detect high affinity antibodies and total titers, respectively.</w:t>
      </w:r>
      <w:bookmarkStart w:id="10" w:name="Line_manuscript_256"/>
      <w:bookmarkEnd w:id="10"/>
    </w:p>
    <w:p w:rsidR="008E2D5C" w:rsidRPr="008636D1" w:rsidRDefault="008E2D5C" w:rsidP="001C1C96">
      <w:pPr>
        <w:pStyle w:val="sectionb"/>
      </w:pPr>
      <w:r w:rsidRPr="008636D1">
        <w:rPr>
          <w:rFonts w:ascii="Arial" w:hAnsi="Arial" w:cs="Arial"/>
          <w:szCs w:val="21"/>
        </w:rPr>
        <w:t>Western blot analysis</w:t>
      </w:r>
      <w:bookmarkStart w:id="11" w:name="Line_manuscript_257"/>
      <w:bookmarkEnd w:id="11"/>
    </w:p>
    <w:p w:rsidR="008E2D5C" w:rsidRPr="008636D1" w:rsidRDefault="008E2D5C" w:rsidP="00610A71">
      <w:pPr>
        <w:pStyle w:val="paragraph"/>
      </w:pPr>
      <w:r w:rsidRPr="008636D1">
        <w:rPr>
          <w:rFonts w:ascii="Arial" w:hAnsi="Arial" w:cs="Arial"/>
          <w:szCs w:val="21"/>
        </w:rPr>
        <w:t xml:space="preserve">Whole cell lysates were prepared by direct lysing with RIPA buffer plus complete protease inhibitor mixture (Roche). Protein concentration of whole cell lysates was quantitated using the BCA protein assay kit (Pierce). Samples were boiled in NuPAGE™ LDS Sample Buffer (Invitrogen) supplemented with </w:t>
      </w:r>
      <w:r w:rsidRPr="008636D1">
        <w:rPr>
          <w:rStyle w:val="STIX"/>
          <w:rFonts w:hint="eastAsia"/>
          <w:szCs w:val="21"/>
          <w:shd w:val="clear" w:color="auto" w:fill="00CC99"/>
        </w:rPr>
        <w:t>β</w:t>
      </w:r>
      <w:r w:rsidRPr="008636D1">
        <w:rPr>
          <w:rFonts w:ascii="Arial" w:hAnsi="Arial" w:cs="Arial"/>
          <w:szCs w:val="21"/>
        </w:rPr>
        <w:t>-mercaptoethanol and then were separated by 4</w:t>
      </w:r>
      <w:r w:rsidRPr="008636D1">
        <w:rPr>
          <w:rStyle w:val="STIX"/>
          <w:rFonts w:hint="eastAsia"/>
          <w:szCs w:val="21"/>
          <w:shd w:val="clear" w:color="auto" w:fill="00CC99"/>
        </w:rPr>
        <w:t>−</w:t>
      </w:r>
      <w:r w:rsidRPr="008636D1">
        <w:rPr>
          <w:rFonts w:ascii="Arial" w:hAnsi="Arial" w:cs="Arial"/>
          <w:szCs w:val="21"/>
        </w:rPr>
        <w:t>12% polyacrylamide Bis-Tris gel (Bio-Rad) and transferred onto polyvinylidene difluoride membrane (EMD Millipore). The membrane was probed for the indicated proteins. The following antibodies were purchased from Cell Signaling Technology: anti-AKT1 (clone: C73H10), -AKT2 (clone: D6G4), -AKT3 (clone: E1Z3W), -total AKT (Cat#: 9272), -</w:t>
      </w:r>
      <w:r w:rsidRPr="008636D1">
        <w:rPr>
          <w:rStyle w:val="STIX"/>
          <w:rFonts w:hint="eastAsia"/>
          <w:szCs w:val="21"/>
          <w:shd w:val="clear" w:color="auto" w:fill="00CC99"/>
        </w:rPr>
        <w:t>β</w:t>
      </w:r>
      <w:r w:rsidRPr="008636D1">
        <w:rPr>
          <w:rFonts w:ascii="Arial" w:hAnsi="Arial" w:cs="Arial"/>
          <w:szCs w:val="21"/>
        </w:rPr>
        <w:t xml:space="preserve">-actin (clone: 13E5), -cyclin D3 (Clone: DCS22), -mTor (Cat#: 2983) -Erk1/2 (Cat#: 9102), -p-Erk1/2 (T202/Y204) (Clone: D13.14.4E), -FOXO1 (Clone: C29H4), -p-FOXO1 (S256) (Cat#: #9461), -p-FOXO1 (T24A) (Cat#: 9272), -p-S6 (S240/244) (Clone: D68F8).  Anti-Mcl-1 (Cat#: 600-401-394S) were purchased from Rockland Immunochemicals. Primary antibodies were then detected with HRP-labeled donkey anti-rabbit antibodies (Jackson Immuno-Research). HRP antibody target proteins were detected by incubating with Supersignal West Pico chemiluminescent substrate (Thermo Fisher Scientific) and exposing the blot to x-ray film. Protein bands were quantitated with Image J software (NIH, </w:t>
      </w:r>
      <w:smartTag w:uri="urn:schemas-microsoft-com:office:smarttags" w:element="City">
        <w:smartTag w:uri="urn:schemas-microsoft-com:office:smarttags" w:element="place">
          <w:r w:rsidRPr="008636D1">
            <w:rPr>
              <w:rFonts w:ascii="Arial" w:hAnsi="Arial" w:cs="Arial"/>
              <w:szCs w:val="21"/>
            </w:rPr>
            <w:t>Bethseda</w:t>
          </w:r>
        </w:smartTag>
        <w:r w:rsidRPr="008636D1">
          <w:rPr>
            <w:rFonts w:ascii="Arial" w:hAnsi="Arial" w:cs="Arial"/>
            <w:szCs w:val="21"/>
          </w:rPr>
          <w:t xml:space="preserve">, </w:t>
        </w:r>
        <w:smartTag w:uri="urn:schemas-microsoft-com:office:smarttags" w:element="State">
          <w:r w:rsidRPr="008636D1">
            <w:rPr>
              <w:rFonts w:ascii="Arial" w:hAnsi="Arial" w:cs="Arial"/>
              <w:szCs w:val="21"/>
            </w:rPr>
            <w:t>MD</w:t>
          </w:r>
        </w:smartTag>
      </w:smartTag>
      <w:r w:rsidRPr="008636D1">
        <w:rPr>
          <w:rFonts w:ascii="Arial" w:hAnsi="Arial" w:cs="Arial"/>
          <w:szCs w:val="21"/>
        </w:rPr>
        <w:t>).</w:t>
      </w:r>
      <w:bookmarkStart w:id="12" w:name="Line_manuscript_258"/>
      <w:bookmarkEnd w:id="12"/>
    </w:p>
    <w:p w:rsidR="008E2D5C" w:rsidRPr="008636D1" w:rsidRDefault="008E2D5C" w:rsidP="001C1C96">
      <w:pPr>
        <w:pStyle w:val="sectionb"/>
      </w:pPr>
      <w:r w:rsidRPr="008636D1">
        <w:rPr>
          <w:rFonts w:ascii="Arial" w:hAnsi="Arial" w:cs="Arial"/>
          <w:szCs w:val="21"/>
        </w:rPr>
        <w:t>Glucose uptake assay</w:t>
      </w:r>
      <w:bookmarkStart w:id="13" w:name="Line_manuscript_259"/>
      <w:bookmarkEnd w:id="13"/>
    </w:p>
    <w:p w:rsidR="008E2D5C" w:rsidRPr="008636D1" w:rsidRDefault="008E2D5C" w:rsidP="00610A71">
      <w:pPr>
        <w:pStyle w:val="paragraph"/>
      </w:pPr>
      <w:r w:rsidRPr="008636D1">
        <w:rPr>
          <w:rFonts w:ascii="Arial" w:hAnsi="Arial" w:cs="Arial"/>
          <w:szCs w:val="21"/>
        </w:rPr>
        <w:t>Glucose uptake was measured with 2-NBDG (Invitrogen). Briefly, freshly isolated B cells were unstimulated or stimulated as indicated for 24 hours. The cells then were washed with PBS, and resuspended in glucose free RPMI 1640 medium (Gibco) in the presence of 100 μM 2-NBDG and cultured for 15 minutes at 37°C prior to flow cytometry analysis.</w:t>
      </w:r>
      <w:bookmarkStart w:id="14" w:name="Line_manuscript_260"/>
      <w:bookmarkEnd w:id="14"/>
    </w:p>
    <w:p w:rsidR="008E2D5C" w:rsidRPr="008636D1" w:rsidRDefault="008E2D5C" w:rsidP="001C1C96">
      <w:pPr>
        <w:pStyle w:val="sectionb"/>
      </w:pPr>
      <w:r w:rsidRPr="008636D1">
        <w:rPr>
          <w:rFonts w:ascii="Arial" w:hAnsi="Arial" w:cs="Arial"/>
          <w:szCs w:val="21"/>
        </w:rPr>
        <w:t>Statistical analysis</w:t>
      </w:r>
      <w:bookmarkStart w:id="15" w:name="Line_manuscript_261"/>
      <w:bookmarkEnd w:id="15"/>
    </w:p>
    <w:p w:rsidR="008E2D5C" w:rsidRPr="008636D1" w:rsidRDefault="008E2D5C" w:rsidP="001C1C96">
      <w:pPr>
        <w:pStyle w:val="paragraph"/>
      </w:pPr>
      <w:bookmarkStart w:id="16" w:name="Line_manuscript_262"/>
      <w:bookmarkEnd w:id="16"/>
      <w:r w:rsidRPr="008636D1">
        <w:rPr>
          <w:rFonts w:ascii="Arial" w:hAnsi="Arial" w:cs="Arial"/>
          <w:szCs w:val="21"/>
        </w:rPr>
        <w:t xml:space="preserve">Results are expressed as mean </w:t>
      </w:r>
      <w:r w:rsidRPr="008636D1">
        <w:rPr>
          <w:rFonts w:ascii="Arial" w:eastAsia="MS Mincho" w:hAnsi="Arial" w:cs="Arial"/>
          <w:szCs w:val="21"/>
          <w:lang w:eastAsia="ja-JP"/>
        </w:rPr>
        <w:t xml:space="preserve">± SEM and </w:t>
      </w:r>
      <w:r w:rsidRPr="008636D1">
        <w:rPr>
          <w:rFonts w:ascii="Arial" w:hAnsi="Arial" w:cs="Arial"/>
          <w:szCs w:val="21"/>
        </w:rPr>
        <w:t>we</w:t>
      </w:r>
      <w:r w:rsidRPr="008636D1">
        <w:rPr>
          <w:rFonts w:ascii="Arial" w:eastAsia="MS Mincho" w:hAnsi="Arial" w:cs="Arial"/>
          <w:szCs w:val="21"/>
          <w:lang w:eastAsia="ja-JP"/>
        </w:rPr>
        <w:t xml:space="preserve">re </w:t>
      </w:r>
      <w:r w:rsidRPr="008636D1">
        <w:rPr>
          <w:rFonts w:ascii="Arial" w:hAnsi="Arial" w:cs="Arial"/>
          <w:szCs w:val="21"/>
        </w:rPr>
        <w:t>determined with one-way ANOVA with the post-hoc Tukey’s multiple comparisons test and the student’s t test for unpaired samples. Statistical significance is indicated by asterisks (*, P &lt; 0.05; **, P &lt; 0.01; and ***, P &lt; 0.001), with P values &gt;0.05 considered non significant (ns).</w:t>
      </w:r>
    </w:p>
    <w:p w:rsidR="008E2D5C" w:rsidRPr="004D6ABE" w:rsidRDefault="008E2D5C" w:rsidP="00190549">
      <w:pPr>
        <w:pStyle w:val="references"/>
      </w:pPr>
      <w:bookmarkStart w:id="17" w:name="Line_manuscript_263"/>
      <w:bookmarkEnd w:id="17"/>
      <w:r w:rsidRPr="008636D1">
        <w:t>Supplementary References</w:t>
      </w:r>
    </w:p>
    <w:p w:rsidR="008E2D5C" w:rsidRPr="004D6ABE" w:rsidRDefault="008E2D5C" w:rsidP="001C1C96">
      <w:pPr>
        <w:pStyle w:val="bibitem"/>
      </w:pPr>
      <w:bookmarkStart w:id="18" w:name="Line_manuscript_264"/>
      <w:bookmarkEnd w:id="18"/>
      <w:r w:rsidRPr="004D6ABE">
        <w:rPr>
          <w:sz w:val="21"/>
          <w:szCs w:val="21"/>
        </w:rPr>
        <w:t xml:space="preserve">Casola S, Cattoretti G, Uyttersprot N, Koralov SB, Seagal J, Hao Z, Waisman A, Egert A, Ghitza D, Rajewsky K (2006) Tracking germinal center B cells expressing germ-line immunoglobulin gamma1 transcripts by conditional gene targeting. </w:t>
      </w:r>
      <w:r w:rsidRPr="004D6ABE">
        <w:rPr>
          <w:i/>
          <w:sz w:val="21"/>
          <w:szCs w:val="21"/>
        </w:rPr>
        <w:t>Proc Natl Acad Sci U S A</w:t>
      </w:r>
      <w:r w:rsidRPr="004D6ABE">
        <w:rPr>
          <w:sz w:val="21"/>
          <w:szCs w:val="21"/>
        </w:rPr>
        <w:t xml:space="preserve"> 103</w:t>
      </w:r>
      <w:r w:rsidRPr="00F14B75">
        <w:rPr>
          <w:sz w:val="21"/>
          <w:szCs w:val="21"/>
        </w:rPr>
        <w:t>:</w:t>
      </w:r>
      <w:r w:rsidRPr="004D6ABE">
        <w:rPr>
          <w:sz w:val="21"/>
          <w:szCs w:val="21"/>
        </w:rPr>
        <w:t xml:space="preserve"> 7396-7401. doi: 10.1073/pnas.0602353103. </w:t>
      </w:r>
    </w:p>
    <w:p w:rsidR="008E2D5C" w:rsidRPr="004D6ABE" w:rsidRDefault="008E2D5C" w:rsidP="00610A71">
      <w:pPr>
        <w:pStyle w:val="bibitem"/>
      </w:pPr>
      <w:r w:rsidRPr="004D6ABE">
        <w:rPr>
          <w:sz w:val="21"/>
          <w:szCs w:val="21"/>
        </w:rPr>
        <w:t xml:space="preserve">Cho H, Thorvaldsen JL, Chu Q, Feng F, Birnbaum MJ (2001) Akt1/PKBalpha is required for normal growth but dispensable for maintenance of glucose homeostasis in mice. </w:t>
      </w:r>
      <w:r w:rsidRPr="004D6ABE">
        <w:rPr>
          <w:i/>
          <w:sz w:val="21"/>
          <w:szCs w:val="21"/>
        </w:rPr>
        <w:t>J Biol Chem</w:t>
      </w:r>
      <w:r w:rsidRPr="004D6ABE">
        <w:rPr>
          <w:sz w:val="21"/>
          <w:szCs w:val="21"/>
        </w:rPr>
        <w:t xml:space="preserve"> 276</w:t>
      </w:r>
      <w:r w:rsidRPr="00F14B75">
        <w:rPr>
          <w:sz w:val="21"/>
          <w:szCs w:val="21"/>
        </w:rPr>
        <w:t>:</w:t>
      </w:r>
      <w:r w:rsidRPr="004D6ABE">
        <w:rPr>
          <w:sz w:val="21"/>
          <w:szCs w:val="21"/>
        </w:rPr>
        <w:t xml:space="preserve"> 38349-38352. doi: 10.1074/jbc.C100462200. </w:t>
      </w:r>
      <w:bookmarkStart w:id="19" w:name="Line_manuscript_265"/>
      <w:bookmarkEnd w:id="19"/>
    </w:p>
    <w:p w:rsidR="008E2D5C" w:rsidRPr="004D6ABE" w:rsidRDefault="008E2D5C" w:rsidP="001C1C96">
      <w:pPr>
        <w:pStyle w:val="bibitem"/>
      </w:pPr>
      <w:r w:rsidRPr="004D6ABE">
        <w:rPr>
          <w:sz w:val="21"/>
          <w:szCs w:val="21"/>
        </w:rPr>
        <w:t xml:space="preserve">Dummler B, Tschopp O, Hynx D, Yang ZZ, Dirnhofer S, Hemmings BA (2006) Life with a single isoform of Akt: mice lacking Akt2 and Akt3 are viable but display impaired glucose homeostasis and growth deficiencies. </w:t>
      </w:r>
      <w:r w:rsidRPr="004D6ABE">
        <w:rPr>
          <w:i/>
          <w:sz w:val="21"/>
          <w:szCs w:val="21"/>
        </w:rPr>
        <w:t>Mol Cell Biol</w:t>
      </w:r>
      <w:r w:rsidRPr="004D6ABE">
        <w:rPr>
          <w:sz w:val="21"/>
          <w:szCs w:val="21"/>
        </w:rPr>
        <w:t xml:space="preserve"> 26</w:t>
      </w:r>
      <w:r w:rsidRPr="00F14B75">
        <w:rPr>
          <w:sz w:val="21"/>
          <w:szCs w:val="21"/>
        </w:rPr>
        <w:t>:</w:t>
      </w:r>
      <w:r w:rsidRPr="004D6ABE">
        <w:rPr>
          <w:sz w:val="21"/>
          <w:szCs w:val="21"/>
        </w:rPr>
        <w:t xml:space="preserve"> 8042-8051. doi: 10.1128/MCB.00722-06. </w:t>
      </w:r>
      <w:bookmarkStart w:id="20" w:name="Line_manuscript_266"/>
      <w:bookmarkEnd w:id="20"/>
    </w:p>
    <w:p w:rsidR="008E2D5C" w:rsidRPr="004D6ABE" w:rsidRDefault="008E2D5C" w:rsidP="001C1C96">
      <w:pPr>
        <w:pStyle w:val="bibitem"/>
      </w:pPr>
      <w:r w:rsidRPr="004D6ABE">
        <w:rPr>
          <w:sz w:val="21"/>
          <w:szCs w:val="21"/>
        </w:rPr>
        <w:t xml:space="preserve">Rickert RC, Roes J, Rajewsky K (1997) B lymphocyte-specific, Cre-mediated mutagenesis in mice. </w:t>
      </w:r>
      <w:r w:rsidRPr="004D6ABE">
        <w:rPr>
          <w:i/>
          <w:sz w:val="21"/>
          <w:szCs w:val="21"/>
        </w:rPr>
        <w:t>Nucleic Acids Res</w:t>
      </w:r>
      <w:r w:rsidRPr="004D6ABE">
        <w:rPr>
          <w:sz w:val="21"/>
          <w:szCs w:val="21"/>
        </w:rPr>
        <w:t xml:space="preserve"> 25</w:t>
      </w:r>
      <w:r w:rsidRPr="00F14B75">
        <w:rPr>
          <w:sz w:val="21"/>
          <w:szCs w:val="21"/>
        </w:rPr>
        <w:t>:</w:t>
      </w:r>
      <w:r w:rsidRPr="004D6ABE">
        <w:rPr>
          <w:sz w:val="21"/>
          <w:szCs w:val="21"/>
        </w:rPr>
        <w:t xml:space="preserve"> 1317-1318. doi: 10.1093/nar/25.6.1317. </w:t>
      </w:r>
      <w:bookmarkStart w:id="21" w:name="Line_manuscript_267"/>
      <w:bookmarkEnd w:id="21"/>
    </w:p>
    <w:p w:rsidR="008E2D5C" w:rsidRPr="00B54343" w:rsidRDefault="008E2D5C" w:rsidP="001C1C96">
      <w:pPr>
        <w:pStyle w:val="bibitem"/>
      </w:pPr>
      <w:r w:rsidRPr="004D6ABE">
        <w:rPr>
          <w:sz w:val="21"/>
          <w:szCs w:val="21"/>
        </w:rPr>
        <w:t xml:space="preserve">Tschopp O, Yang ZZ, Brodbeck D, Dummler BA, Hemmings-Mieszczak M, Watanabe T, Michaelis T, Frahm J, Hemmings BA (2005) Essential role of protein kinase B gamma (PKB gamma/Akt3) in postnatal brain development but not in glucose homeostasis. </w:t>
      </w:r>
      <w:r w:rsidRPr="004D6ABE">
        <w:rPr>
          <w:i/>
          <w:sz w:val="21"/>
          <w:szCs w:val="21"/>
        </w:rPr>
        <w:t>Development</w:t>
      </w:r>
      <w:r w:rsidRPr="004D6ABE">
        <w:rPr>
          <w:sz w:val="21"/>
          <w:szCs w:val="21"/>
        </w:rPr>
        <w:t xml:space="preserve"> 132</w:t>
      </w:r>
      <w:r w:rsidRPr="00F14B75">
        <w:rPr>
          <w:sz w:val="21"/>
          <w:szCs w:val="21"/>
        </w:rPr>
        <w:t>:</w:t>
      </w:r>
      <w:r w:rsidRPr="004D6ABE">
        <w:rPr>
          <w:sz w:val="21"/>
          <w:szCs w:val="21"/>
        </w:rPr>
        <w:t xml:space="preserve"> 2943-2954. doi: 10.1242/dev.01864. </w:t>
      </w:r>
      <w:bookmarkStart w:id="22" w:name="Line_manuscript_268"/>
      <w:bookmarkEnd w:id="22"/>
    </w:p>
    <w:p w:rsidR="008E2D5C" w:rsidRDefault="008E2D5C"/>
    <w:sectPr w:rsidR="008E2D5C" w:rsidSect="00610A71">
      <w:pgSz w:w="12240" w:h="15840"/>
      <w:pgMar w:top="1440" w:right="1440" w:bottom="1440" w:left="1440" w:header="720" w:footer="720" w:gutter="0"/>
      <w:lnNumType w:countBy="1" w:restart="continuou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D5C" w:rsidRDefault="008E2D5C">
      <w:r>
        <w:separator/>
      </w:r>
    </w:p>
  </w:endnote>
  <w:endnote w:type="continuationSeparator" w:id="0">
    <w:p w:rsidR="008E2D5C" w:rsidRDefault="008E2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TIXGeneral">
    <w:panose1 w:val="00000000000000000000"/>
    <w:charset w:val="80"/>
    <w:family w:val="modern"/>
    <w:notTrueType/>
    <w:pitch w:val="variable"/>
    <w:sig w:usb0="F7402A87" w:usb1="FB9FC042" w:usb2="04000050" w:usb3="00000000" w:csb0="800200F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D5C" w:rsidRDefault="008E2D5C">
      <w:r>
        <w:separator/>
      </w:r>
    </w:p>
  </w:footnote>
  <w:footnote w:type="continuationSeparator" w:id="0">
    <w:p w:rsidR="008E2D5C" w:rsidRDefault="008E2D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displayBackgroundShape/>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paraStyleChangeData1" w:val="579518_duplicate-0000:duplicate-sectionc"/>
    <w:docVar w:name="paraStyleChangeData2" w:val="289562_duplicate-0000:duplicate-sectionc"/>
    <w:docVar w:name="paraStyleChangeData3" w:val="301948_duplicate-0000:duplicate-paragraph"/>
    <w:docVar w:name="paraStyleChangeData4" w:val="774740_duplicate-0000:duplicate-paragraph"/>
    <w:docVar w:name="paraStyleChangeData5" w:val="14017_duplicate-0000:duplicate-paragraph"/>
    <w:docVar w:name="paraStyleChangeData6" w:val="760723_duplicate-0000:duplicate-paragraph"/>
    <w:docVar w:name="paraStyleChangeData7" w:val="814490_sectionb-0000:sectionb-dummy"/>
    <w:docVar w:name="paraStyleChangeData8" w:val="709037_appsectiona-0000:appsectiona-references"/>
  </w:docVars>
  <w:rsids>
    <w:rsidRoot w:val="00610A71"/>
    <w:rsid w:val="00190549"/>
    <w:rsid w:val="001C1C96"/>
    <w:rsid w:val="002B405B"/>
    <w:rsid w:val="003C76ED"/>
    <w:rsid w:val="004D6ABE"/>
    <w:rsid w:val="005E5636"/>
    <w:rsid w:val="00610A71"/>
    <w:rsid w:val="006536E5"/>
    <w:rsid w:val="007C4328"/>
    <w:rsid w:val="008636D1"/>
    <w:rsid w:val="008E2D5C"/>
    <w:rsid w:val="00B54343"/>
    <w:rsid w:val="00B905BE"/>
    <w:rsid w:val="00CF690A"/>
    <w:rsid w:val="00E70C9D"/>
    <w:rsid w:val="00EB70CC"/>
    <w:rsid w:val="00F14B75"/>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C4328"/>
    <w:pPr>
      <w:spacing w:after="120"/>
    </w:pPr>
    <w:rPr>
      <w:sz w:val="22"/>
      <w:szCs w:val="22"/>
      <w:lang w:val="en-US" w:eastAsia="en-US"/>
    </w:rPr>
  </w:style>
  <w:style w:type="paragraph" w:customStyle="1" w:styleId="bibitem">
    <w:name w:val="bibitem"/>
    <w:basedOn w:val="Normal"/>
    <w:uiPriority w:val="99"/>
    <w:rsid w:val="00610A71"/>
    <w:pPr>
      <w:spacing w:before="120" w:line="360" w:lineRule="auto"/>
    </w:pPr>
    <w:rPr>
      <w:sz w:val="22"/>
      <w:szCs w:val="22"/>
      <w:lang w:val="en-US" w:eastAsia="en-US"/>
    </w:rPr>
  </w:style>
  <w:style w:type="paragraph" w:customStyle="1" w:styleId="paragraph">
    <w:name w:val="paragraph"/>
    <w:basedOn w:val="Normal"/>
    <w:link w:val="type"/>
    <w:uiPriority w:val="99"/>
    <w:rsid w:val="00610A71"/>
    <w:pPr>
      <w:spacing w:after="120"/>
      <w:ind w:firstLine="288"/>
    </w:pPr>
    <w:rPr>
      <w:sz w:val="22"/>
      <w:szCs w:val="22"/>
      <w:lang w:val="en-US" w:eastAsia="en-US"/>
    </w:rPr>
  </w:style>
  <w:style w:type="paragraph" w:customStyle="1" w:styleId="sectiona">
    <w:name w:val="sectiona"/>
    <w:basedOn w:val="Normal"/>
    <w:uiPriority w:val="99"/>
    <w:rsid w:val="00610A71"/>
    <w:pPr>
      <w:spacing w:before="120" w:after="120"/>
    </w:pPr>
    <w:rPr>
      <w:sz w:val="32"/>
      <w:szCs w:val="32"/>
      <w:lang w:val="en-US" w:eastAsia="en-US"/>
    </w:rPr>
  </w:style>
  <w:style w:type="paragraph" w:customStyle="1" w:styleId="sectionb">
    <w:name w:val="sectionb"/>
    <w:basedOn w:val="Normal"/>
    <w:uiPriority w:val="99"/>
    <w:rsid w:val="00610A71"/>
    <w:pPr>
      <w:spacing w:before="120" w:after="120"/>
    </w:pPr>
    <w:rPr>
      <w:sz w:val="28"/>
      <w:szCs w:val="28"/>
      <w:lang w:val="en-US" w:eastAsia="en-US"/>
    </w:rPr>
  </w:style>
  <w:style w:type="paragraph" w:customStyle="1" w:styleId="appsectiona">
    <w:name w:val="appsectiona"/>
    <w:basedOn w:val="Normal"/>
    <w:uiPriority w:val="99"/>
    <w:rsid w:val="00610A71"/>
    <w:pPr>
      <w:spacing w:before="120" w:after="120"/>
    </w:pPr>
    <w:rPr>
      <w:sz w:val="28"/>
      <w:szCs w:val="28"/>
      <w:lang w:val="en-US" w:eastAsia="en-US"/>
    </w:rPr>
  </w:style>
  <w:style w:type="character" w:customStyle="1" w:styleId="type">
    <w:name w:val="type"/>
    <w:basedOn w:val="DefaultParagraphFont"/>
    <w:link w:val="paragraph"/>
    <w:uiPriority w:val="99"/>
    <w:locked/>
    <w:rsid w:val="00610A71"/>
    <w:rPr>
      <w:rFonts w:cs="Times New Roman"/>
      <w:sz w:val="22"/>
      <w:szCs w:val="22"/>
      <w:lang w:val="en-US" w:eastAsia="en-US" w:bidi="ar-SA"/>
    </w:rPr>
  </w:style>
  <w:style w:type="paragraph" w:customStyle="1" w:styleId="dummy">
    <w:name w:val="dummy"/>
    <w:basedOn w:val="paragraph"/>
    <w:uiPriority w:val="99"/>
    <w:rsid w:val="00610A71"/>
    <w:rPr>
      <w:sz w:val="18"/>
      <w:szCs w:val="18"/>
    </w:rPr>
  </w:style>
  <w:style w:type="paragraph" w:customStyle="1" w:styleId="duplicate">
    <w:name w:val="duplicate"/>
    <w:basedOn w:val="paragraph"/>
    <w:uiPriority w:val="99"/>
    <w:rsid w:val="00610A71"/>
    <w:pPr>
      <w:spacing w:before="120"/>
    </w:pPr>
  </w:style>
  <w:style w:type="character" w:customStyle="1" w:styleId="STIX">
    <w:name w:val="STIX"/>
    <w:basedOn w:val="DefaultParagraphFont"/>
    <w:uiPriority w:val="99"/>
    <w:rsid w:val="00610A71"/>
    <w:rPr>
      <w:rFonts w:ascii="STIXGeneral" w:eastAsia="STIXGeneral" w:hAnsi="STIXGeneral" w:cs="STIXGeneral"/>
      <w:sz w:val="20"/>
      <w:szCs w:val="20"/>
    </w:rPr>
  </w:style>
  <w:style w:type="paragraph" w:customStyle="1" w:styleId="sectionc">
    <w:name w:val="sectionc"/>
    <w:basedOn w:val="duplicate"/>
    <w:uiPriority w:val="99"/>
    <w:rsid w:val="001C1C96"/>
    <w:rPr>
      <w:rFonts w:ascii="Arial" w:hAnsi="Arial" w:cs="Arial"/>
      <w:szCs w:val="21"/>
    </w:rPr>
  </w:style>
  <w:style w:type="paragraph" w:customStyle="1" w:styleId="references">
    <w:name w:val="references"/>
    <w:basedOn w:val="appsectiona"/>
    <w:uiPriority w:val="99"/>
    <w:rsid w:val="00190549"/>
    <w:rPr>
      <w:rFonts w:ascii="Arial"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dbiosciences.com/us/applications/research/intracellular-flow/intracellular-antibodies-and-isotype-controls/anti-human-antibodies/pe-mouse-anti-plc-2-py759-k86-68937/p/55849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904</Words>
  <Characters>5156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subject/>
  <dc:creator>15325</dc:creator>
  <cp:keywords/>
  <dc:description/>
  <cp:lastModifiedBy>15325</cp:lastModifiedBy>
  <cp:revision>2</cp:revision>
  <dcterms:created xsi:type="dcterms:W3CDTF">2019-11-21T07:14:00Z</dcterms:created>
  <dcterms:modified xsi:type="dcterms:W3CDTF">2019-11-21T07:14:00Z</dcterms:modified>
</cp:coreProperties>
</file>