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E7" w:rsidRDefault="00AA27E7">
      <w:pPr>
        <w:pStyle w:val="BodyText"/>
      </w:pPr>
    </w:p>
    <w:p w:rsidR="00AA27E7" w:rsidRDefault="00AA27E7">
      <w:pPr>
        <w:rPr>
          <w:sz w:val="4"/>
          <w:szCs w:val="4"/>
        </w:rPr>
      </w:pPr>
      <w:bookmarkStart w:id="0" w:name="820"/>
      <w:bookmarkEnd w:id="0"/>
    </w:p>
    <w:p w:rsidR="00AA27E7" w:rsidRDefault="00AA27E7">
      <w:pPr>
        <w:pStyle w:val="BodyText"/>
        <w:spacing w:after="0"/>
        <w:jc w:val="center"/>
        <w:rPr>
          <w:rStyle w:val="StrongEmphasis"/>
          <w:bCs/>
        </w:rPr>
      </w:pPr>
      <w:r>
        <w:br w:type="page"/>
      </w:r>
    </w:p>
    <w:p w:rsidR="00AA27E7" w:rsidRDefault="00AA27E7">
      <w:pPr>
        <w:pStyle w:val="BodyText"/>
        <w:spacing w:after="0"/>
        <w:jc w:val="center"/>
      </w:pPr>
      <w:r>
        <w:rPr>
          <w:rStyle w:val="StrongEmphasis"/>
          <w:bCs/>
        </w:rPr>
        <w:t>Table S8:</w:t>
      </w:r>
      <w:r>
        <w:t xml:space="preserve"> Frequencies in position two in the test set divided by Viridiplantae (P), Metazoa (M), Fungi (F) and other Eukaryotic organisms (O) sequences for the five categories of proteins, mitochondrial Transit Peptides (</w:t>
      </w:r>
      <w:r>
        <w:rPr>
          <w:rStyle w:val="Emphasis"/>
          <w:rFonts w:cs="Lohit Devanagari"/>
          <w:iCs/>
        </w:rPr>
        <w:t>mTPs</w:t>
      </w:r>
      <w:r>
        <w:t>), Signal Peptide (</w:t>
      </w:r>
      <w:r>
        <w:rPr>
          <w:rStyle w:val="Emphasis"/>
          <w:rFonts w:cs="Lohit Devanagari"/>
          <w:iCs/>
        </w:rPr>
        <w:t>SP</w:t>
      </w:r>
      <w:r>
        <w:t>), choroplast Transit Peptides (</w:t>
      </w:r>
      <w:r>
        <w:rPr>
          <w:rStyle w:val="Emphasis"/>
          <w:rFonts w:cs="Lohit Devanagari"/>
          <w:iCs/>
        </w:rPr>
        <w:t>cTP</w:t>
      </w:r>
      <w:r>
        <w:t>), thylakoid lumenal Tranist Peptides (</w:t>
      </w:r>
      <w:r>
        <w:rPr>
          <w:rStyle w:val="Emphasis"/>
          <w:rFonts w:cs="Lohit Devanagari"/>
          <w:iCs/>
        </w:rPr>
        <w:t>luTP</w:t>
      </w:r>
      <w:r>
        <w:t>) and proteins with no targeting peptide (</w:t>
      </w:r>
      <w:r>
        <w:rPr>
          <w:rStyle w:val="Emphasis"/>
          <w:rFonts w:cs="Lohit Devanagari"/>
          <w:iCs/>
        </w:rPr>
        <w:t>noTP</w:t>
      </w:r>
      <w:r>
        <w:t>). All frequencies higher than 10% are marked in bold. The top part shows the frequency of the short-chained amino acids that can be cleaved by MAPs. The SUM line is the sum of all these short-chained amino acids, and the Total line is the number of proteins in each class.</w:t>
      </w:r>
    </w:p>
    <w:tbl>
      <w:tblPr>
        <w:tblW w:w="10173" w:type="dxa"/>
        <w:jc w:val="center"/>
        <w:tblCellMar>
          <w:top w:w="28" w:type="dxa"/>
          <w:left w:w="28" w:type="dxa"/>
          <w:bottom w:w="28" w:type="dxa"/>
          <w:right w:w="28" w:type="dxa"/>
        </w:tblCellMar>
        <w:tblLook w:val="0000"/>
      </w:tblPr>
      <w:tblGrid>
        <w:gridCol w:w="10188"/>
      </w:tblGrid>
      <w:tr w:rsidR="00AA27E7">
        <w:trPr>
          <w:jc w:val="center"/>
        </w:trPr>
        <w:tc>
          <w:tcPr>
            <w:tcW w:w="10173" w:type="dxa"/>
            <w:vAlign w:val="center"/>
          </w:tcPr>
          <w:tbl>
            <w:tblPr>
              <w:tblW w:w="10116"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CellMar>
                <w:top w:w="45" w:type="dxa"/>
                <w:left w:w="37" w:type="dxa"/>
                <w:bottom w:w="45" w:type="dxa"/>
                <w:right w:w="45" w:type="dxa"/>
              </w:tblCellMar>
              <w:tblLook w:val="0000"/>
            </w:tblPr>
            <w:tblGrid>
              <w:gridCol w:w="149"/>
              <w:gridCol w:w="565"/>
              <w:gridCol w:w="720"/>
              <w:gridCol w:w="782"/>
              <w:gridCol w:w="720"/>
              <w:gridCol w:w="745"/>
              <w:gridCol w:w="599"/>
              <w:gridCol w:w="611"/>
              <w:gridCol w:w="599"/>
              <w:gridCol w:w="599"/>
              <w:gridCol w:w="687"/>
              <w:gridCol w:w="746"/>
              <w:gridCol w:w="684"/>
              <w:gridCol w:w="712"/>
              <w:gridCol w:w="599"/>
              <w:gridCol w:w="599"/>
            </w:tblGrid>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AA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noTP-P</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noTP-M</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noTP-F</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noTP-O</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SP-P </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SP-M </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SP-F </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SP-O </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mTP-P </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mTP-M</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mTP-F</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mTP-O </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cTP</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luTP</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Ala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21.7%</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23.7%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12.4%</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47.7%</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6.9%</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40.8%</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40.2%</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6.3%</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71.3%</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71.1%</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Cys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0.6%</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Gly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10.6%</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6.1%</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5.5%</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6.9%</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8.1%</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Pro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3.1%</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6.0%</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5.4%</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Ser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12.8%</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14.4%</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26.6%</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4.0%</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6.7%</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9.2%</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4.3%</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12.6%</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12.5%</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10.6%</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8.9%</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Thr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3.3%</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4.5%</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7.6%</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5.9%</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2.9%</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0.7%</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2.3%</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Val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5.1%</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4.4%</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4.9%</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4.3%</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9.0%</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2.4%</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4.4%</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SUM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57%</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59.7%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62.8%</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49.7%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66.2%</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37.5%</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26.9%</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16.7%</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55.3%</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49.7%</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23.2%</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12.5%</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87%</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86.6%</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Asp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8.5%</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7.8%</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7.1%</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0.7%</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0.5%</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Glu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13.1%</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10.5%</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5.9%</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5.8%</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0.7%</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3.7%</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Phe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1.8%</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1.3%</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4.8%</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5.4%</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6.7%</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12.6%</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12.5%</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His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0.9%</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0.7%</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Ile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2.0%</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1.8%</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3.3%</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3.1%</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2.4%</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4.2%</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12.5%</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0.9%</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Lys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5.2%</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3.4%</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4.7%</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5.9%</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10.8%</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19.5%</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17.9%</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46.7%</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7.7%</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5.3%</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0.5%</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Leu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1.8%</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3.3%</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3.3%</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4.2%</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5.4%</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9.7%</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3.3%</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5.4%</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28.7%</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38.9%</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2.8%</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Met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2.9%</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2.9%</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4.6%</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2.3%</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Asn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5.4%</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3.6%</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0.5%</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Gln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2.0%</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1.9%</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8.3%</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3.8%</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2.8%</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3.2%</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12.5%</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4.4%</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Arg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2.6%</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2.4%</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5.0%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4.7%</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12.3%</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15.2%</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6.2%</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2.4%</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3.2%</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25.0%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Trp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0.1%</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0.6%</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0.2%</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0.4%</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1.7%</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2.3%</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3.5%</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2.2%</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 xml:space="preserve">Tyr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1.4%</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0.7%</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0.9%</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2.1%</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3.1%</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1.6%</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3.2%</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0.5%</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0.0%</w:t>
                  </w:r>
                </w:p>
              </w:tc>
            </w:tr>
            <w:tr w:rsidR="00AA27E7">
              <w:tc>
                <w:tcPr>
                  <w:tcW w:w="158"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4"/>
                      <w:szCs w:val="4"/>
                    </w:rPr>
                  </w:pPr>
                </w:p>
              </w:tc>
              <w:tc>
                <w:tcPr>
                  <w:tcW w:w="5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rPr>
                      <w:sz w:val="20"/>
                    </w:rPr>
                  </w:pPr>
                  <w:r>
                    <w:rPr>
                      <w:sz w:val="20"/>
                    </w:rPr>
                    <w:t>Total</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1802 </w:t>
                  </w:r>
                </w:p>
              </w:tc>
              <w:tc>
                <w:tcPr>
                  <w:tcW w:w="82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5354 </w:t>
                  </w:r>
                </w:p>
              </w:tc>
              <w:tc>
                <w:tcPr>
                  <w:tcW w:w="74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2263 </w:t>
                  </w:r>
                </w:p>
              </w:tc>
              <w:tc>
                <w:tcPr>
                  <w:tcW w:w="77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118</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282 </w:t>
                  </w:r>
                </w:p>
              </w:tc>
              <w:tc>
                <w:tcPr>
                  <w:tcW w:w="61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2251 </w:t>
                  </w:r>
                </w:p>
              </w:tc>
              <w:tc>
                <w:tcPr>
                  <w:tcW w:w="547"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133 </w:t>
                  </w:r>
                </w:p>
              </w:tc>
              <w:tc>
                <w:tcPr>
                  <w:tcW w:w="574"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31 </w:t>
                  </w:r>
                </w:p>
              </w:tc>
              <w:tc>
                <w:tcPr>
                  <w:tcW w:w="70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125 </w:t>
                  </w:r>
                </w:p>
              </w:tc>
              <w:tc>
                <w:tcPr>
                  <w:tcW w:w="776"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263 </w:t>
                  </w:r>
                </w:p>
              </w:tc>
              <w:tc>
                <w:tcPr>
                  <w:tcW w:w="701"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103 </w:t>
                  </w:r>
                </w:p>
              </w:tc>
              <w:tc>
                <w:tcPr>
                  <w:tcW w:w="735"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8 </w:t>
                  </w:r>
                </w:p>
              </w:tc>
              <w:tc>
                <w:tcPr>
                  <w:tcW w:w="509"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 xml:space="preserve">227 </w:t>
                  </w:r>
                </w:p>
              </w:tc>
              <w:tc>
                <w:tcPr>
                  <w:tcW w:w="590" w:type="dxa"/>
                  <w:tcBorders>
                    <w:top w:val="double" w:sz="2" w:space="0" w:color="808080"/>
                    <w:left w:val="double" w:sz="2" w:space="0" w:color="808080"/>
                    <w:bottom w:val="double" w:sz="2" w:space="0" w:color="808080"/>
                    <w:right w:val="double" w:sz="2" w:space="0" w:color="808080"/>
                  </w:tcBorders>
                  <w:vAlign w:val="center"/>
                </w:tcPr>
                <w:p w:rsidR="00AA27E7" w:rsidRDefault="00AA27E7">
                  <w:pPr>
                    <w:pStyle w:val="TableContents"/>
                    <w:jc w:val="center"/>
                    <w:rPr>
                      <w:sz w:val="20"/>
                    </w:rPr>
                  </w:pPr>
                  <w:r>
                    <w:rPr>
                      <w:sz w:val="20"/>
                    </w:rPr>
                    <w:t>45</w:t>
                  </w:r>
                  <w:bookmarkStart w:id="1" w:name="table%3Aposition2_test_set"/>
                  <w:bookmarkEnd w:id="1"/>
                </w:p>
              </w:tc>
            </w:tr>
          </w:tbl>
          <w:p w:rsidR="00AA27E7" w:rsidRDefault="00AA27E7"/>
        </w:tc>
      </w:tr>
    </w:tbl>
    <w:p w:rsidR="00AA27E7" w:rsidRDefault="00AA27E7">
      <w:pPr>
        <w:pStyle w:val="BodyText"/>
      </w:pPr>
    </w:p>
    <w:sectPr w:rsidR="00AA27E7" w:rsidSect="00FA473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733"/>
    <w:rsid w:val="00032819"/>
    <w:rsid w:val="001B25AE"/>
    <w:rsid w:val="00401E5C"/>
    <w:rsid w:val="00502B2C"/>
    <w:rsid w:val="005E0D42"/>
    <w:rsid w:val="007E6EFF"/>
    <w:rsid w:val="0094745C"/>
    <w:rsid w:val="00A24374"/>
    <w:rsid w:val="00AA27E7"/>
    <w:rsid w:val="00FA473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33"/>
    <w:rPr>
      <w:kern w:val="2"/>
      <w:sz w:val="24"/>
      <w:szCs w:val="24"/>
      <w:lang w:val="en-US" w:eastAsia="zh-CN" w:bidi="hi-IN"/>
    </w:rPr>
  </w:style>
  <w:style w:type="paragraph" w:styleId="Heading1">
    <w:name w:val="heading 1"/>
    <w:basedOn w:val="Heading"/>
    <w:next w:val="BodyText"/>
    <w:link w:val="Heading1Char"/>
    <w:uiPriority w:val="99"/>
    <w:qFormat/>
    <w:rsid w:val="00FA4733"/>
    <w:pPr>
      <w:outlineLvl w:val="0"/>
    </w:pPr>
    <w:rPr>
      <w:rFonts w:ascii="Liberation Serif" w:hAnsi="Liberation Serif"/>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val="en-US" w:eastAsia="zh-CN" w:bidi="hi-IN"/>
    </w:rPr>
  </w:style>
  <w:style w:type="character" w:customStyle="1" w:styleId="StrongEmphasis">
    <w:name w:val="Strong Emphasis"/>
    <w:uiPriority w:val="99"/>
    <w:rsid w:val="00FA4733"/>
    <w:rPr>
      <w:b/>
    </w:rPr>
  </w:style>
  <w:style w:type="character" w:styleId="Emphasis">
    <w:name w:val="Emphasis"/>
    <w:basedOn w:val="DefaultParagraphFont"/>
    <w:uiPriority w:val="99"/>
    <w:qFormat/>
    <w:rsid w:val="00FA4733"/>
    <w:rPr>
      <w:rFonts w:cs="Times New Roman"/>
      <w:i/>
    </w:rPr>
  </w:style>
  <w:style w:type="character" w:customStyle="1" w:styleId="InternetLink">
    <w:name w:val="Internet Link"/>
    <w:uiPriority w:val="99"/>
    <w:rsid w:val="00FA4733"/>
    <w:rPr>
      <w:color w:val="000080"/>
      <w:u w:val="single"/>
    </w:rPr>
  </w:style>
  <w:style w:type="character" w:customStyle="1" w:styleId="Teletype">
    <w:name w:val="Teletype"/>
    <w:uiPriority w:val="99"/>
    <w:rsid w:val="00FA4733"/>
    <w:rPr>
      <w:rFonts w:ascii="Liberation Mono" w:hAnsi="Liberation Mono"/>
    </w:rPr>
  </w:style>
  <w:style w:type="paragraph" w:customStyle="1" w:styleId="Heading">
    <w:name w:val="Heading"/>
    <w:basedOn w:val="Normal"/>
    <w:next w:val="BodyText"/>
    <w:uiPriority w:val="99"/>
    <w:rsid w:val="00FA4733"/>
    <w:pPr>
      <w:keepNext/>
      <w:spacing w:before="240" w:after="120"/>
    </w:pPr>
    <w:rPr>
      <w:rFonts w:ascii="Liberation Sans" w:hAnsi="Liberation Sans"/>
      <w:sz w:val="28"/>
      <w:szCs w:val="28"/>
    </w:rPr>
  </w:style>
  <w:style w:type="paragraph" w:styleId="BodyText">
    <w:name w:val="Body Text"/>
    <w:basedOn w:val="Normal"/>
    <w:link w:val="BodyTextChar"/>
    <w:uiPriority w:val="99"/>
    <w:rsid w:val="00FA4733"/>
    <w:pPr>
      <w:spacing w:after="140" w:line="276" w:lineRule="auto"/>
    </w:pPr>
  </w:style>
  <w:style w:type="character" w:customStyle="1" w:styleId="BodyTextChar">
    <w:name w:val="Body Text Char"/>
    <w:basedOn w:val="DefaultParagraphFont"/>
    <w:link w:val="BodyText"/>
    <w:uiPriority w:val="99"/>
    <w:semiHidden/>
    <w:locked/>
    <w:rPr>
      <w:rFonts w:cs="Mangal"/>
      <w:kern w:val="2"/>
      <w:sz w:val="21"/>
      <w:szCs w:val="21"/>
      <w:lang w:val="en-US" w:eastAsia="zh-CN" w:bidi="hi-IN"/>
    </w:rPr>
  </w:style>
  <w:style w:type="paragraph" w:styleId="List">
    <w:name w:val="List"/>
    <w:basedOn w:val="BodyText"/>
    <w:uiPriority w:val="99"/>
    <w:rsid w:val="00FA4733"/>
  </w:style>
  <w:style w:type="paragraph" w:styleId="Caption">
    <w:name w:val="caption"/>
    <w:basedOn w:val="Normal"/>
    <w:uiPriority w:val="99"/>
    <w:qFormat/>
    <w:rsid w:val="00FA4733"/>
    <w:pPr>
      <w:suppressLineNumbers/>
      <w:spacing w:before="120" w:after="120"/>
    </w:pPr>
    <w:rPr>
      <w:i/>
      <w:iCs/>
    </w:rPr>
  </w:style>
  <w:style w:type="paragraph" w:customStyle="1" w:styleId="Index">
    <w:name w:val="Index"/>
    <w:basedOn w:val="Normal"/>
    <w:uiPriority w:val="99"/>
    <w:rsid w:val="00FA4733"/>
    <w:pPr>
      <w:suppressLineNumbers/>
    </w:pPr>
  </w:style>
  <w:style w:type="paragraph" w:customStyle="1" w:styleId="TableContents">
    <w:name w:val="Table Contents"/>
    <w:basedOn w:val="Normal"/>
    <w:uiPriority w:val="99"/>
    <w:rsid w:val="00FA4733"/>
    <w:pPr>
      <w:suppressLineNumbers/>
    </w:pPr>
  </w:style>
  <w:style w:type="paragraph" w:customStyle="1" w:styleId="TableHeading">
    <w:name w:val="Table Heading"/>
    <w:basedOn w:val="TableContents"/>
    <w:uiPriority w:val="99"/>
    <w:rsid w:val="00FA4733"/>
    <w:pPr>
      <w:jc w:val="center"/>
    </w:pPr>
    <w:rPr>
      <w:b/>
      <w:bCs/>
    </w:rPr>
  </w:style>
  <w:style w:type="paragraph" w:customStyle="1" w:styleId="HorizontalLine">
    <w:name w:val="Horizontal Line"/>
    <w:basedOn w:val="Normal"/>
    <w:next w:val="BodyText"/>
    <w:uiPriority w:val="99"/>
    <w:rsid w:val="00FA4733"/>
    <w:pPr>
      <w:suppressLineNumbers/>
      <w:pBdr>
        <w:bottom w:val="double" w:sz="2"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370</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CE</cp:lastModifiedBy>
  <cp:revision>4</cp:revision>
  <dcterms:created xsi:type="dcterms:W3CDTF">2019-09-18T11:41:00Z</dcterms:created>
  <dcterms:modified xsi:type="dcterms:W3CDTF">2019-09-25T04:03:00Z</dcterms:modified>
</cp:coreProperties>
</file>