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A9" w:rsidRPr="00931790" w:rsidRDefault="009357A9" w:rsidP="009357A9">
      <w:pPr>
        <w:jc w:val="both"/>
        <w:rPr>
          <w:b/>
          <w:color w:val="000000" w:themeColor="text1"/>
          <w:sz w:val="21"/>
          <w:szCs w:val="21"/>
          <w:lang w:val="en-US"/>
        </w:rPr>
      </w:pPr>
      <w:r w:rsidRPr="00931790">
        <w:rPr>
          <w:b/>
          <w:color w:val="000000" w:themeColor="text1"/>
          <w:sz w:val="21"/>
          <w:szCs w:val="21"/>
          <w:lang w:val="en-US"/>
        </w:rPr>
        <w:t>Supplemental Information:</w:t>
      </w:r>
    </w:p>
    <w:p w:rsidR="009357A9" w:rsidRPr="00931790" w:rsidRDefault="009357A9" w:rsidP="009357A9">
      <w:pPr>
        <w:jc w:val="both"/>
        <w:rPr>
          <w:color w:val="000000" w:themeColor="text1"/>
          <w:sz w:val="21"/>
          <w:szCs w:val="21"/>
          <w:lang w:val="en-US"/>
        </w:rPr>
      </w:pPr>
    </w:p>
    <w:p w:rsidR="009357A9" w:rsidRPr="00931790" w:rsidRDefault="009357A9" w:rsidP="009357A9">
      <w:pPr>
        <w:jc w:val="both"/>
        <w:rPr>
          <w:b/>
          <w:sz w:val="21"/>
          <w:szCs w:val="21"/>
          <w:lang w:val="en-US"/>
        </w:rPr>
      </w:pPr>
      <w:r w:rsidRPr="00931790">
        <w:rPr>
          <w:b/>
          <w:sz w:val="21"/>
          <w:szCs w:val="21"/>
          <w:lang w:val="en-US"/>
        </w:rPr>
        <w:t>Improved Algorithm Generation</w:t>
      </w:r>
    </w:p>
    <w:p w:rsidR="009357A9" w:rsidRPr="00931790" w:rsidRDefault="009357A9" w:rsidP="009357A9">
      <w:pPr>
        <w:jc w:val="both"/>
        <w:rPr>
          <w:sz w:val="21"/>
          <w:szCs w:val="21"/>
          <w:lang w:val="en-US"/>
        </w:rPr>
      </w:pPr>
      <w:r w:rsidRPr="00931790">
        <w:rPr>
          <w:sz w:val="21"/>
          <w:szCs w:val="21"/>
          <w:lang w:val="en-US"/>
        </w:rPr>
        <w:t>We aligned 79 experimentally confirmed</w:t>
      </w:r>
      <w:r w:rsidR="008435E2">
        <w:rPr>
          <w:sz w:val="21"/>
          <w:szCs w:val="21"/>
          <w:lang w:val="en-US"/>
        </w:rPr>
        <w:t xml:space="preserve"> LC8 binding sequences (Table S4). O</w:t>
      </w:r>
      <w:r w:rsidR="00F12F09">
        <w:rPr>
          <w:sz w:val="21"/>
          <w:szCs w:val="21"/>
          <w:lang w:val="en-US"/>
        </w:rPr>
        <w:t xml:space="preserve">nly </w:t>
      </w:r>
      <w:r w:rsidR="000C6353">
        <w:rPr>
          <w:sz w:val="21"/>
          <w:szCs w:val="21"/>
          <w:lang w:val="en-US"/>
        </w:rPr>
        <w:t xml:space="preserve">‘strong’ binding sequences </w:t>
      </w:r>
      <w:r w:rsidR="003568EA">
        <w:rPr>
          <w:sz w:val="21"/>
          <w:szCs w:val="21"/>
          <w:lang w:val="en-US"/>
        </w:rPr>
        <w:t>(</w:t>
      </w:r>
      <w:proofErr w:type="spellStart"/>
      <w:proofErr w:type="gramStart"/>
      <w:r w:rsidR="003568EA" w:rsidRPr="003568EA">
        <w:rPr>
          <w:i/>
          <w:sz w:val="21"/>
          <w:szCs w:val="21"/>
          <w:lang w:val="en-US"/>
        </w:rPr>
        <w:t>K</w:t>
      </w:r>
      <w:r w:rsidR="003568EA" w:rsidRPr="003568EA">
        <w:rPr>
          <w:i/>
          <w:sz w:val="21"/>
          <w:szCs w:val="21"/>
          <w:vertAlign w:val="subscript"/>
          <w:lang w:val="en-US"/>
        </w:rPr>
        <w:t>d</w:t>
      </w:r>
      <w:proofErr w:type="spellEnd"/>
      <w:proofErr w:type="gramEnd"/>
      <w:r w:rsidR="003568EA" w:rsidRPr="003568EA">
        <w:rPr>
          <w:sz w:val="21"/>
          <w:szCs w:val="21"/>
          <w:lang w:val="en-US"/>
        </w:rPr>
        <w:t xml:space="preserve"> &lt; 25 </w:t>
      </w:r>
      <w:proofErr w:type="spellStart"/>
      <w:r w:rsidR="003568EA">
        <w:rPr>
          <w:sz w:val="21"/>
          <w:szCs w:val="21"/>
          <w:lang w:val="en-US"/>
        </w:rPr>
        <w:t>μ</w:t>
      </w:r>
      <w:r w:rsidR="003568EA" w:rsidRPr="003568EA">
        <w:rPr>
          <w:sz w:val="21"/>
          <w:szCs w:val="21"/>
          <w:lang w:val="en-US"/>
        </w:rPr>
        <w:t>M</w:t>
      </w:r>
      <w:proofErr w:type="spellEnd"/>
      <w:r w:rsidR="003568EA">
        <w:rPr>
          <w:sz w:val="21"/>
          <w:szCs w:val="21"/>
          <w:lang w:val="en-US"/>
        </w:rPr>
        <w:t xml:space="preserve">) </w:t>
      </w:r>
      <w:r w:rsidR="00F12F09">
        <w:rPr>
          <w:sz w:val="21"/>
          <w:szCs w:val="21"/>
          <w:lang w:val="en-US"/>
        </w:rPr>
        <w:t>were selected</w:t>
      </w:r>
      <w:r w:rsidR="000C6353">
        <w:rPr>
          <w:sz w:val="21"/>
          <w:szCs w:val="21"/>
          <w:lang w:val="en-US"/>
        </w:rPr>
        <w:t xml:space="preserve"> so that the final algorithm provided only high-confidence hits, rather than being exceptionally permissive; however, this means that many weak binding sequences will be overlooked. </w:t>
      </w:r>
      <w:r w:rsidRPr="00931790">
        <w:rPr>
          <w:sz w:val="21"/>
          <w:szCs w:val="21"/>
          <w:lang w:val="en-US"/>
        </w:rPr>
        <w:t>Aligned motifs were defined as an eight amino-acid peptide sequence</w:t>
      </w:r>
      <m:oMath>
        <m:r>
          <w:rPr>
            <w:rFonts w:ascii="Cambria Math" w:hAnsi="Cambria Math"/>
            <w:sz w:val="21"/>
            <w:szCs w:val="21"/>
            <w:lang w:val="en-US"/>
          </w:rPr>
          <m:t xml:space="preserve"> p</m:t>
        </m:r>
      </m:oMath>
      <w:r w:rsidRPr="00931790">
        <w:rPr>
          <w:sz w:val="21"/>
          <w:szCs w:val="21"/>
          <w:lang w:val="en-US"/>
        </w:rPr>
        <w:t xml:space="preserve">, stretching from the -5 to the +2 positions relative to the anchor Q residue, thereby defining the “0” position of each binding sequence as the Q in the </w:t>
      </w:r>
      <w:r w:rsidR="00931790">
        <w:rPr>
          <w:sz w:val="21"/>
          <w:szCs w:val="21"/>
          <w:lang w:val="en-US"/>
        </w:rPr>
        <w:t xml:space="preserve">canonical </w:t>
      </w:r>
      <w:r w:rsidRPr="00931790">
        <w:rPr>
          <w:sz w:val="21"/>
          <w:szCs w:val="21"/>
          <w:lang w:val="en-US"/>
        </w:rPr>
        <w:t>TQT</w:t>
      </w:r>
      <w:r w:rsidR="00931790">
        <w:rPr>
          <w:sz w:val="21"/>
          <w:szCs w:val="21"/>
          <w:lang w:val="en-US"/>
        </w:rPr>
        <w:t xml:space="preserve"> motif</w:t>
      </w:r>
      <w:r w:rsidRPr="00931790">
        <w:rPr>
          <w:sz w:val="21"/>
          <w:szCs w:val="21"/>
          <w:lang w:val="en-US"/>
        </w:rPr>
        <w:t xml:space="preserve">. We used these binding sequences to generate a PSSM with weights, </w:t>
      </w:r>
      <m:oMath>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ai</m:t>
            </m:r>
          </m:sub>
          <m:sup>
            <m:r>
              <w:rPr>
                <w:rFonts w:ascii="Cambria Math" w:hAnsi="Cambria Math"/>
                <w:sz w:val="21"/>
                <w:szCs w:val="21"/>
                <w:lang w:val="en-US"/>
              </w:rPr>
              <m:t>B</m:t>
            </m:r>
          </m:sup>
        </m:sSubSup>
      </m:oMath>
      <w:r w:rsidRPr="00931790">
        <w:rPr>
          <w:sz w:val="21"/>
          <w:szCs w:val="21"/>
          <w:lang w:val="en-US"/>
        </w:rPr>
        <w:t xml:space="preserve">, for a given amino acid, </w:t>
      </w:r>
      <m:oMath>
        <m:r>
          <w:rPr>
            <w:rFonts w:ascii="Cambria Math" w:hAnsi="Cambria Math"/>
            <w:sz w:val="21"/>
            <w:szCs w:val="21"/>
            <w:lang w:val="en-US"/>
          </w:rPr>
          <m:t>a</m:t>
        </m:r>
      </m:oMath>
      <w:r w:rsidRPr="00931790">
        <w:rPr>
          <w:sz w:val="21"/>
          <w:szCs w:val="21"/>
          <w:lang w:val="en-US"/>
        </w:rPr>
        <w:t xml:space="preserve">, at position, </w:t>
      </w:r>
      <m:oMath>
        <m:r>
          <w:rPr>
            <w:rFonts w:ascii="Cambria Math" w:hAnsi="Cambria Math"/>
            <w:sz w:val="21"/>
            <w:szCs w:val="21"/>
            <w:lang w:val="en-US"/>
          </w:rPr>
          <m:t>i</m:t>
        </m:r>
      </m:oMath>
      <w:r w:rsidRPr="00931790">
        <w:rPr>
          <w:sz w:val="21"/>
          <w:szCs w:val="21"/>
          <w:lang w:val="en-US"/>
        </w:rPr>
        <w:t xml:space="preserve">, such that </w:t>
      </w:r>
      <m:oMath>
        <m:r>
          <w:rPr>
            <w:rFonts w:ascii="Cambria Math" w:hAnsi="Cambria Math"/>
            <w:sz w:val="21"/>
            <w:szCs w:val="21"/>
            <w:lang w:val="en-US"/>
          </w:rPr>
          <m:t>p[i]=a</m:t>
        </m:r>
      </m:oMath>
      <w:r w:rsidRPr="00931790">
        <w:rPr>
          <w:sz w:val="21"/>
          <w:szCs w:val="21"/>
          <w:lang w:val="en-US"/>
        </w:rPr>
        <w:t xml:space="preserve"> within each instance of the motif. These weights</w:t>
      </w:r>
      <w:r w:rsidR="00931790">
        <w:rPr>
          <w:sz w:val="21"/>
          <w:szCs w:val="21"/>
          <w:lang w:val="en-US"/>
        </w:rPr>
        <w:t xml:space="preserve"> (eq. 1)</w:t>
      </w:r>
      <w:r w:rsidRPr="00931790">
        <w:rPr>
          <w:sz w:val="21"/>
          <w:szCs w:val="21"/>
          <w:lang w:val="en-US"/>
        </w:rPr>
        <w:t xml:space="preserve"> define a log-likelihood score comparing the frequency of the amino acid at that position in the binders, </w:t>
      </w:r>
      <m:oMath>
        <m:sSub>
          <m:sSubPr>
            <m:ctrlPr>
              <w:rPr>
                <w:rFonts w:ascii="Cambria Math" w:hAnsi="Cambria Math"/>
                <w:i/>
                <w:sz w:val="21"/>
                <w:szCs w:val="21"/>
                <w:lang w:val="en-US"/>
              </w:rPr>
            </m:ctrlPr>
          </m:sSubPr>
          <m:e>
            <m:r>
              <w:rPr>
                <w:rFonts w:ascii="Cambria Math" w:hAnsi="Cambria Math"/>
                <w:sz w:val="21"/>
                <w:szCs w:val="21"/>
                <w:lang w:val="en-US"/>
              </w:rPr>
              <m:t>B</m:t>
            </m:r>
          </m:e>
          <m:sub>
            <m:r>
              <w:rPr>
                <w:rFonts w:ascii="Cambria Math" w:hAnsi="Cambria Math"/>
                <w:sz w:val="21"/>
                <w:szCs w:val="21"/>
                <w:vertAlign w:val="subscript"/>
                <w:lang w:val="en-US"/>
              </w:rPr>
              <m:t>ai</m:t>
            </m:r>
          </m:sub>
        </m:sSub>
      </m:oMath>
      <w:r w:rsidRPr="00931790">
        <w:rPr>
          <w:sz w:val="21"/>
          <w:szCs w:val="21"/>
          <w:lang w:val="en-US"/>
        </w:rPr>
        <w:t xml:space="preserve">, to the background frequency of amino acid, </w:t>
      </w:r>
      <m:oMath>
        <m:sSub>
          <m:sSubPr>
            <m:ctrlPr>
              <w:rPr>
                <w:rFonts w:ascii="Cambria Math" w:hAnsi="Cambria Math"/>
                <w:i/>
                <w:sz w:val="21"/>
                <w:szCs w:val="21"/>
                <w:lang w:val="en-US"/>
              </w:rPr>
            </m:ctrlPr>
          </m:sSubPr>
          <m:e>
            <m:r>
              <w:rPr>
                <w:rFonts w:ascii="Cambria Math" w:hAnsi="Cambria Math"/>
                <w:sz w:val="21"/>
                <w:szCs w:val="21"/>
                <w:lang w:val="en-US"/>
              </w:rPr>
              <m:t>P</m:t>
            </m:r>
          </m:e>
          <m:sub>
            <m:r>
              <w:rPr>
                <w:rFonts w:ascii="Cambria Math" w:hAnsi="Cambria Math"/>
                <w:sz w:val="21"/>
                <w:szCs w:val="21"/>
                <w:lang w:val="en-US"/>
              </w:rPr>
              <m:t>a</m:t>
            </m:r>
          </m:sub>
        </m:sSub>
      </m:oMath>
      <w:r w:rsidRPr="00931790">
        <w:rPr>
          <w:sz w:val="21"/>
          <w:szCs w:val="21"/>
          <w:lang w:val="en-US"/>
        </w:rPr>
        <w:t xml:space="preserve">, across </w:t>
      </w:r>
      <w:r w:rsidR="00931790">
        <w:rPr>
          <w:sz w:val="21"/>
          <w:szCs w:val="21"/>
          <w:lang w:val="en-US"/>
        </w:rPr>
        <w:t>disordered eukaryotic</w:t>
      </w:r>
      <w:r w:rsidRPr="00931790">
        <w:rPr>
          <w:sz w:val="21"/>
          <w:szCs w:val="21"/>
          <w:lang w:val="en-US"/>
        </w:rPr>
        <w:t xml:space="preserve"> proteins found in </w:t>
      </w:r>
      <w:proofErr w:type="spellStart"/>
      <w:r w:rsidR="00931790">
        <w:rPr>
          <w:sz w:val="21"/>
          <w:szCs w:val="21"/>
          <w:lang w:val="en-US"/>
        </w:rPr>
        <w:t>DisProt</w:t>
      </w:r>
      <w:proofErr w:type="spellEnd"/>
      <w:r w:rsidR="00931790">
        <w:rPr>
          <w:sz w:val="21"/>
          <w:szCs w:val="21"/>
          <w:lang w:val="en-US"/>
        </w:rPr>
        <w:t xml:space="preserve">, a </w:t>
      </w:r>
      <w:r w:rsidRPr="00931790">
        <w:rPr>
          <w:sz w:val="21"/>
          <w:szCs w:val="21"/>
          <w:lang w:val="en-US"/>
        </w:rPr>
        <w:t xml:space="preserve">database </w:t>
      </w:r>
      <w:r w:rsidR="00931790">
        <w:rPr>
          <w:sz w:val="21"/>
          <w:szCs w:val="21"/>
          <w:lang w:val="en-US"/>
        </w:rPr>
        <w:t>of intrinsically disordered proteins and regions</w:t>
      </w:r>
      <w:r w:rsidR="00506661">
        <w:rPr>
          <w:sz w:val="21"/>
          <w:szCs w:val="21"/>
          <w:lang w:val="en-US"/>
        </w:rPr>
        <w:t xml:space="preserve"> </w:t>
      </w:r>
      <w:r w:rsidR="001E7BFB">
        <w:rPr>
          <w:sz w:val="21"/>
          <w:szCs w:val="21"/>
          <w:lang w:val="en-US"/>
        </w:rPr>
        <w:fldChar w:fldCharType="begin" w:fldLock="1"/>
      </w:r>
      <w:r w:rsidR="00AF57D6">
        <w:rPr>
          <w:sz w:val="21"/>
          <w:szCs w:val="21"/>
          <w:lang w:val="en-US"/>
        </w:rPr>
        <w:instrText>ADDIN CSL_CITATION {"citationItems":[{"id":"ITEM-1","itemData":{"DOI":"10.1093/nar/gkw1056","ISSN":"0305-1048","PMID":"27899601","abstract":"The Database of Protein Disorder (DisProt, URL: www.disprot.org) has been significantly updated and upgraded since its last major renewal in 2007. The current release holds information on more than 800 entries of IDPs/IDRs, i.e. intrinsically disordered proteins or regions that exist and function without a well-defined three-dimensional structure. We have re-curated previous entries to purge DisProt from conflicting cases, and also upgraded the functional classification scheme to reflect continuous advance in the field in the past 10 years or so. We define IDPs as proteins that are disordered along their entire sequence, i.e. entirely lack structural elements, and IDRs as regions that are at least five consecutive residues without well-defined structure. We base our assessment of disorder strictly on experimental evidence, such as X-ray crystallography and nuclear magnetic resonance (primary techniques) and a broad range of other experimental approaches (secondary techniques). Confident and ambiguous annotations are highlighted separately. DisProt 7.0 presents classified knowledge regarding the experimental characterization and functional annotations of IDPs/IDRs, and is intended to provide an invaluable resource for the research community for a better understanding structural disorder and for developing better computational tools for studying disordered proteins.","author":[{"dropping-particle":"","family":"Piovesan","given":"Damiano","non-dropping-particle":"","parse-names":false,"suffix":""},{"dropping-particle":"","family":"Tabaro","given":"Francesco","non-dropping-particle":"","parse-names":false,"suffix":""},{"dropping-particle":"","family":"Mičetić","given":"Ivan","non-dropping-particle":"","parse-names":false,"suffix":""},{"dropping-particle":"","family":"Necci","given":"Marco","non-dropping-particle":"","parse-names":false,"suffix":""},{"dropping-particle":"","family":"Quaglia","given":"Federica","non-dropping-particle":"","parse-names":false,"suffix":""},{"dropping-particle":"","family":"Oldfield","given":"Christopher J.","non-dropping-particle":"","parse-names":false,"suffix":""},{"dropping-particle":"","family":"Aspromonte","given":"Maria Cristina","non-dropping-particle":"","parse-names":false,"suffix":""},{"dropping-particle":"","family":"Davey","given":"Norman E.","non-dropping-particle":"","parse-names":false,"suffix":""},{"dropping-particle":"","family":"Davidović","given":"Radoslav","non-dropping-particle":"","parse-names":false,"suffix":""},{"dropping-particle":"","family":"Dosztányi","given":"Zsuzsanna","non-dropping-particle":"","parse-names":false,"suffix":""},{"dropping-particle":"","family":"Elofsson","given":"Arne","non-dropping-particle":"","parse-names":false,"suffix":""},{"dropping-particle":"","family":"Gasparini","given":"Alessandra","non-dropping-particle":"","parse-names":false,"suffix":""},{"dropping-particle":"","family":"Hatos","given":"András","non-dropping-particle":"","parse-names":false,"suffix":""},{"dropping-particle":"V.","family":"Kajava","given":"Andrey","non-dropping-particle":"","parse-names":false,"suffix":""},{"dropping-particle":"","family":"Kalmar","given":"Lajos","non-dropping-particle":"","parse-names":false,"suffix":""},{"dropping-particle":"","family":"Leonardi","given":"Emanuela","non-dropping-particle":"","parse-names":false,"suffix":""},{"dropping-particle":"","family":"Lazar","given":"Tamas","non-dropping-particle":"","parse-names":false,"suffix":""},{"dropping-particle":"","family":"Macedo-Ribeiro","given":"Sandra","non-dropping-particle":"","parse-names":false,"suffix":""},{"dropping-particle":"","family":"Macossay-Castillo","given":"Mauricio","non-dropping-particle":"","parse-names":false,"suffix":""},{"dropping-particle":"","family":"Meszaros","given":"Attila","non-dropping-particle":"","parse-names":false,"suffix":""},{"dropping-particle":"","family":"Minervini","given":"Giovanni","non-dropping-particle":"","parse-names":false,"suffix":""},{"dropping-particle":"","family":"Murvai","given":"Nikoletta","non-dropping-particle":"","parse-names":false,"suffix":""},{"dropping-particle":"","family":"Pujols","given":"Jordi","non-dropping-particle":"","parse-names":false,"suffix":""},{"dropping-particle":"","family":"Roche","given":"Daniel B.","non-dropping-particle":"","parse-names":false,"suffix":""},{"dropping-particle":"","family":"Salladini","given":"Edoardo","non-dropping-particle":"","parse-names":false,"suffix":""},{"dropping-particle":"","family":"Schad","given":"Eva","non-dropping-particle":"","parse-names":false,"suffix":""},{"dropping-particle":"","family":"Schramm","given":"Antoine","non-dropping-particle":"","parse-names":false,"suffix":""},{"dropping-particle":"","family":"Szabo","given":"Beata","non-dropping-particle":"","parse-names":false,"suffix":""},{"dropping-particle":"","family":"Tantos","given":"Agnes","non-dropping-particle":"","parse-names":false,"suffix":""},{"dropping-particle":"","family":"Tonello","given":"Fiorella","non-dropping-particle":"","parse-names":false,"suffix":""},{"dropping-particle":"","family":"Tsirigos","given":"Konstantinos D.","non-dropping-particle":"","parse-names":false,"suffix":""},{"dropping-particle":"","family":"Veljković","given":"Nevena","non-dropping-particle":"","parse-names":false,"suffix":""},{"dropping-particle":"","family":"Ventura","given":"Salvador","non-dropping-particle":"","parse-names":false,"suffix":""},{"dropping-particle":"","family":"Vranken","given":"Wim","non-dropping-particle":"","parse-names":false,"suffix":""},{"dropping-particle":"","family":"Warholm","given":"Per","non-dropping-particle":"","parse-names":false,"suffix":""},{"dropping-particle":"","family":"Uversky","given":"Vladimir N.","non-dropping-particle":"","parse-names":false,"suffix":""},{"dropping-particle":"","family":"Dunker","given":"A. Keith","non-dropping-particle":"","parse-names":false,"suffix":""},{"dropping-particle":"","family":"Longhi","given":"Sonia","non-dropping-particle":"","parse-names":false,"suffix":""},{"dropping-particle":"","family":"Tompa","given":"Peter","non-dropping-particle":"","parse-names":false,"suffix":""},{"dropping-particle":"","family":"Tosatto","given":"Silvio C.E.","non-dropping-particle":"","parse-names":false,"suffix":""}],"container-title":"Nucleic Acids Research","id":"ITEM-1","issue":"D1","issued":{"date-parts":[["2017","1","4"]]},"page":"D219-D227","title":"DisProt 7.0: a major update of the database of disordered proteins","type":"article-journal","volume":"45"},"uris":["http://www.mendeley.com/documents/?uuid=f1252a96-3405-33f0-a576-83e3302b9abb"]}],"mendeley":{"formattedCitation":"(Piovesan et al., 2017)","plainTextFormattedCitation":"(Piovesan et al., 2017)","previouslyFormattedCitation":"&lt;sup&gt;1&lt;/sup&gt;"},"properties":{"noteIndex":0},"schema":"https://github.com/citation-style-language/schema/raw/master/csl-citation.json"}</w:instrText>
      </w:r>
      <w:r w:rsidR="001E7BFB">
        <w:rPr>
          <w:sz w:val="21"/>
          <w:szCs w:val="21"/>
          <w:lang w:val="en-US"/>
        </w:rPr>
        <w:fldChar w:fldCharType="separate"/>
      </w:r>
      <w:r w:rsidR="00AF57D6" w:rsidRPr="00AF57D6">
        <w:rPr>
          <w:noProof/>
          <w:sz w:val="21"/>
          <w:szCs w:val="21"/>
          <w:lang w:val="en-US"/>
        </w:rPr>
        <w:t>(Piovesan et al., 2017)</w:t>
      </w:r>
      <w:r w:rsidR="001E7BFB">
        <w:rPr>
          <w:sz w:val="21"/>
          <w:szCs w:val="21"/>
          <w:lang w:val="en-US"/>
        </w:rPr>
        <w:fldChar w:fldCharType="end"/>
      </w:r>
      <w:r w:rsidR="00931790">
        <w:rPr>
          <w:sz w:val="21"/>
          <w:szCs w:val="21"/>
          <w:lang w:val="en-US"/>
        </w:rPr>
        <w:t xml:space="preserve">. </w:t>
      </w:r>
      <w:r w:rsidRPr="00931790">
        <w:rPr>
          <w:sz w:val="21"/>
          <w:szCs w:val="21"/>
          <w:lang w:val="en-US"/>
        </w:rPr>
        <w:t xml:space="preserve">A positive weight at a given position and amino acid indicates that that amino acid is enriched at that position, relative to a random occurrence rate. Likewise, a negative weight indicates that the amino acid is depleted at that residue. </w:t>
      </w:r>
    </w:p>
    <w:p w:rsidR="009357A9" w:rsidRPr="00931790" w:rsidRDefault="006C2BA8" w:rsidP="009357A9">
      <w:pPr>
        <w:jc w:val="right"/>
        <w:rPr>
          <w:sz w:val="21"/>
          <w:szCs w:val="21"/>
          <w:lang w:val="en-US"/>
        </w:rPr>
      </w:pPr>
      <m:oMath>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ai</m:t>
            </m:r>
          </m:sub>
          <m:sup>
            <m:r>
              <w:rPr>
                <w:rFonts w:ascii="Cambria Math" w:hAnsi="Cambria Math"/>
                <w:sz w:val="21"/>
                <w:szCs w:val="21"/>
                <w:lang w:val="en-US"/>
              </w:rPr>
              <m:t>B</m:t>
            </m:r>
          </m:sup>
        </m:sSubSup>
        <m:r>
          <w:rPr>
            <w:rFonts w:ascii="Cambria Math" w:hAnsi="Cambria Math"/>
            <w:sz w:val="21"/>
            <w:szCs w:val="21"/>
            <w:lang w:val="en-US"/>
          </w:rPr>
          <m:t>=</m:t>
        </m:r>
        <m:sSub>
          <m:sSubPr>
            <m:ctrlPr>
              <w:rPr>
                <w:rFonts w:ascii="Cambria Math" w:hAnsi="Cambria Math"/>
                <w:sz w:val="21"/>
                <w:szCs w:val="21"/>
                <w:lang w:val="en-US"/>
              </w:rPr>
            </m:ctrlPr>
          </m:sSubPr>
          <m:e>
            <m:r>
              <m:rPr>
                <m:sty m:val="p"/>
              </m:rPr>
              <w:rPr>
                <w:rFonts w:ascii="Cambria Math" w:hAnsi="Cambria Math"/>
                <w:sz w:val="21"/>
                <w:szCs w:val="21"/>
                <w:lang w:val="en-US"/>
              </w:rPr>
              <m:t>log</m:t>
            </m:r>
          </m:e>
          <m:sub>
            <m:r>
              <w:rPr>
                <w:rFonts w:ascii="Cambria Math" w:hAnsi="Cambria Math"/>
                <w:sz w:val="21"/>
                <w:szCs w:val="21"/>
                <w:lang w:val="en-US"/>
              </w:rPr>
              <m:t>2</m:t>
            </m:r>
          </m:sub>
        </m:sSub>
        <m:d>
          <m:dPr>
            <m:ctrlPr>
              <w:rPr>
                <w:rFonts w:ascii="Cambria Math" w:hAnsi="Cambria Math"/>
                <w:i/>
                <w:sz w:val="21"/>
                <w:szCs w:val="21"/>
                <w:lang w:val="en-US"/>
              </w:rPr>
            </m:ctrlPr>
          </m:dPr>
          <m:e>
            <m:f>
              <m:fPr>
                <m:ctrlPr>
                  <w:rPr>
                    <w:rFonts w:ascii="Cambria Math" w:hAnsi="Cambria Math"/>
                    <w:i/>
                    <w:sz w:val="21"/>
                    <w:szCs w:val="21"/>
                    <w:lang w:val="en-US"/>
                  </w:rPr>
                </m:ctrlPr>
              </m:fPr>
              <m:num>
                <m:sSub>
                  <m:sSubPr>
                    <m:ctrlPr>
                      <w:rPr>
                        <w:rFonts w:ascii="Cambria Math" w:hAnsi="Cambria Math"/>
                        <w:i/>
                        <w:sz w:val="21"/>
                        <w:szCs w:val="21"/>
                        <w:lang w:val="en-US"/>
                      </w:rPr>
                    </m:ctrlPr>
                  </m:sSubPr>
                  <m:e>
                    <m:r>
                      <w:rPr>
                        <w:rFonts w:ascii="Cambria Math" w:hAnsi="Cambria Math"/>
                        <w:sz w:val="21"/>
                        <w:szCs w:val="21"/>
                        <w:lang w:val="en-US"/>
                      </w:rPr>
                      <m:t>B</m:t>
                    </m:r>
                  </m:e>
                  <m:sub>
                    <m:r>
                      <w:rPr>
                        <w:rFonts w:ascii="Cambria Math" w:hAnsi="Cambria Math"/>
                        <w:sz w:val="21"/>
                        <w:szCs w:val="21"/>
                        <w:lang w:val="en-US"/>
                      </w:rPr>
                      <m:t>ai</m:t>
                    </m:r>
                  </m:sub>
                </m:sSub>
              </m:num>
              <m:den>
                <m:sSub>
                  <m:sSubPr>
                    <m:ctrlPr>
                      <w:rPr>
                        <w:rFonts w:ascii="Cambria Math" w:hAnsi="Cambria Math"/>
                        <w:i/>
                        <w:sz w:val="21"/>
                        <w:szCs w:val="21"/>
                        <w:lang w:val="en-US"/>
                      </w:rPr>
                    </m:ctrlPr>
                  </m:sSubPr>
                  <m:e>
                    <m:r>
                      <w:rPr>
                        <w:rFonts w:ascii="Cambria Math" w:hAnsi="Cambria Math"/>
                        <w:sz w:val="21"/>
                        <w:szCs w:val="21"/>
                        <w:lang w:val="en-US"/>
                      </w:rPr>
                      <m:t>P</m:t>
                    </m:r>
                  </m:e>
                  <m:sub>
                    <m:r>
                      <w:rPr>
                        <w:rFonts w:ascii="Cambria Math" w:hAnsi="Cambria Math"/>
                        <w:sz w:val="21"/>
                        <w:szCs w:val="21"/>
                        <w:lang w:val="en-US"/>
                      </w:rPr>
                      <m:t>a</m:t>
                    </m:r>
                  </m:sub>
                </m:sSub>
              </m:den>
            </m:f>
          </m:e>
        </m:d>
      </m:oMath>
      <w:r w:rsidR="009357A9" w:rsidRPr="00931790">
        <w:rPr>
          <w:sz w:val="21"/>
          <w:szCs w:val="21"/>
          <w:lang w:val="en-US"/>
        </w:rPr>
        <w:tab/>
      </w:r>
      <w:r w:rsidR="009357A9" w:rsidRPr="00931790">
        <w:rPr>
          <w:sz w:val="21"/>
          <w:szCs w:val="21"/>
          <w:lang w:val="en-US"/>
        </w:rPr>
        <w:tab/>
      </w:r>
      <w:r w:rsidR="009357A9" w:rsidRPr="00931790">
        <w:rPr>
          <w:sz w:val="21"/>
          <w:szCs w:val="21"/>
          <w:lang w:val="en-US"/>
        </w:rPr>
        <w:tab/>
      </w:r>
      <w:r w:rsidR="009357A9" w:rsidRPr="00931790">
        <w:rPr>
          <w:sz w:val="21"/>
          <w:szCs w:val="21"/>
          <w:lang w:val="en-US"/>
        </w:rPr>
        <w:tab/>
        <w:t>eq. 1</w:t>
      </w:r>
    </w:p>
    <w:p w:rsidR="009357A9" w:rsidRDefault="009357A9" w:rsidP="009357A9">
      <w:pPr>
        <w:jc w:val="both"/>
        <w:rPr>
          <w:sz w:val="21"/>
          <w:szCs w:val="21"/>
          <w:lang w:val="en-US"/>
        </w:rPr>
      </w:pPr>
    </w:p>
    <w:p w:rsidR="00931790" w:rsidRPr="0052572F" w:rsidRDefault="0052572F" w:rsidP="009357A9">
      <w:pPr>
        <w:jc w:val="both"/>
        <w:rPr>
          <w:i/>
          <w:sz w:val="21"/>
          <w:szCs w:val="21"/>
          <w:lang w:val="en-US"/>
        </w:rPr>
      </w:pPr>
      <w:r>
        <w:rPr>
          <w:sz w:val="21"/>
          <w:szCs w:val="21"/>
          <w:lang w:val="en-US"/>
        </w:rPr>
        <w:tab/>
      </w:r>
      <m:oMath>
        <m:sSub>
          <m:sSubPr>
            <m:ctrlPr>
              <w:rPr>
                <w:rFonts w:ascii="Cambria Math" w:hAnsi="Cambria Math"/>
                <w:i/>
                <w:sz w:val="21"/>
                <w:szCs w:val="21"/>
                <w:lang w:val="en-US"/>
              </w:rPr>
            </m:ctrlPr>
          </m:sSubPr>
          <m:e>
            <m:r>
              <w:rPr>
                <w:rFonts w:ascii="Cambria Math" w:hAnsi="Cambria Math"/>
                <w:sz w:val="21"/>
                <w:szCs w:val="21"/>
                <w:lang w:val="en-US"/>
              </w:rPr>
              <m:t>B</m:t>
            </m:r>
          </m:e>
          <m:sub>
            <m:r>
              <w:rPr>
                <w:rFonts w:ascii="Cambria Math" w:hAnsi="Cambria Math"/>
                <w:sz w:val="21"/>
                <w:szCs w:val="21"/>
                <w:vertAlign w:val="subscript"/>
                <w:lang w:val="en-US"/>
              </w:rPr>
              <m:t>ai</m:t>
            </m:r>
          </m:sub>
        </m:sSub>
      </m:oMath>
      <w:r>
        <w:rPr>
          <w:sz w:val="21"/>
          <w:szCs w:val="21"/>
          <w:lang w:val="en-US"/>
        </w:rPr>
        <w:t xml:space="preserve"> is taken as the number of counts </w:t>
      </w:r>
      <m:oMath>
        <m:sSub>
          <m:sSubPr>
            <m:ctrlPr>
              <w:rPr>
                <w:rFonts w:ascii="Cambria Math" w:hAnsi="Cambria Math"/>
                <w:i/>
                <w:sz w:val="21"/>
                <w:szCs w:val="21"/>
                <w:lang w:val="en-US"/>
              </w:rPr>
            </m:ctrlPr>
          </m:sSubPr>
          <m:e>
            <m:r>
              <w:rPr>
                <w:rFonts w:ascii="Cambria Math" w:hAnsi="Cambria Math"/>
                <w:sz w:val="21"/>
                <w:szCs w:val="21"/>
                <w:lang w:val="en-US"/>
              </w:rPr>
              <m:t>C</m:t>
            </m:r>
          </m:e>
          <m:sub>
            <m:r>
              <w:rPr>
                <w:rFonts w:ascii="Cambria Math" w:hAnsi="Cambria Math"/>
                <w:sz w:val="21"/>
                <w:szCs w:val="21"/>
                <w:lang w:val="en-US"/>
              </w:rPr>
              <m:t>ai</m:t>
            </m:r>
          </m:sub>
        </m:sSub>
      </m:oMath>
      <w:r>
        <w:rPr>
          <w:sz w:val="21"/>
          <w:szCs w:val="21"/>
          <w:lang w:val="en-US"/>
        </w:rPr>
        <w:t xml:space="preserve"> plus a pseudo-count</w:t>
      </w:r>
      <m:oMath>
        <m:r>
          <m:rPr>
            <m:sty m:val="p"/>
          </m:rPr>
          <w:rPr>
            <w:rFonts w:ascii="Cambria Math" w:hAnsi="Cambria Math"/>
            <w:sz w:val="21"/>
            <w:szCs w:val="21"/>
            <w:lang w:val="en-US"/>
          </w:rPr>
          <m:t xml:space="preserve"> </m:t>
        </m:r>
        <m:r>
          <w:rPr>
            <w:rFonts w:ascii="Cambria Math" w:hAnsi="Cambria Math"/>
            <w:sz w:val="21"/>
            <w:szCs w:val="21"/>
            <w:lang w:val="en-US"/>
          </w:rPr>
          <m:t>D</m:t>
        </m:r>
        <m:r>
          <m:rPr>
            <m:sty m:val="p"/>
          </m:rPr>
          <w:rPr>
            <w:rFonts w:ascii="Cambria Math" w:hAnsi="Cambria Math"/>
            <w:sz w:val="21"/>
            <w:szCs w:val="21"/>
            <w:lang w:val="en-US"/>
          </w:rPr>
          <m:t xml:space="preserve">, </m:t>
        </m:r>
      </m:oMath>
      <w:r w:rsidR="002708BC">
        <w:rPr>
          <w:sz w:val="21"/>
          <w:szCs w:val="21"/>
          <w:lang w:val="en-US"/>
        </w:rPr>
        <w:t>over the total number of counts at position</w:t>
      </w:r>
      <w:r w:rsidR="002708BC" w:rsidRPr="00931790">
        <w:rPr>
          <w:sz w:val="21"/>
          <w:szCs w:val="21"/>
          <w:lang w:val="en-US"/>
        </w:rPr>
        <w:t xml:space="preserve"> </w:t>
      </w:r>
      <m:oMath>
        <m:r>
          <w:rPr>
            <w:rFonts w:ascii="Cambria Math" w:hAnsi="Cambria Math"/>
            <w:sz w:val="21"/>
            <w:szCs w:val="21"/>
            <w:lang w:val="en-US"/>
          </w:rPr>
          <m:t>i</m:t>
        </m:r>
      </m:oMath>
      <w:r w:rsidR="002708BC">
        <w:rPr>
          <w:sz w:val="21"/>
          <w:szCs w:val="21"/>
          <w:lang w:val="en-US"/>
        </w:rPr>
        <w:t xml:space="preserve">. Pseudo-counting was primarily used to fill gaps in the matrix, and a value of 5 was selected for </w:t>
      </w:r>
      <m:oMath>
        <m:r>
          <w:rPr>
            <w:rFonts w:ascii="Cambria Math" w:hAnsi="Cambria Math"/>
            <w:sz w:val="21"/>
            <w:szCs w:val="21"/>
            <w:lang w:val="en-US"/>
          </w:rPr>
          <m:t>D</m:t>
        </m:r>
      </m:oMath>
      <w:r w:rsidR="002708BC">
        <w:rPr>
          <w:sz w:val="21"/>
          <w:szCs w:val="21"/>
          <w:lang w:val="en-US"/>
        </w:rPr>
        <w:t xml:space="preserve"> based on prior work in the field</w:t>
      </w:r>
      <w:r w:rsidR="00506661">
        <w:rPr>
          <w:sz w:val="21"/>
          <w:szCs w:val="21"/>
          <w:lang w:val="en-US"/>
        </w:rPr>
        <w:t xml:space="preserve"> (eq. 2; </w:t>
      </w:r>
      <w:r w:rsidR="001E7BFB">
        <w:rPr>
          <w:sz w:val="21"/>
          <w:szCs w:val="21"/>
          <w:lang w:val="en-US"/>
        </w:rPr>
        <w:fldChar w:fldCharType="begin" w:fldLock="1"/>
      </w:r>
      <w:r w:rsidR="00AF57D6">
        <w:rPr>
          <w:sz w:val="21"/>
          <w:szCs w:val="21"/>
          <w:lang w:val="en-US"/>
        </w:rPr>
        <w:instrText>ADDIN CSL_CITATION {"citationItems":[{"id":"ITEM-1","itemData":{"DOI":"10.1371/journal.pcbi.1005885","ISSN":"1553-7358","PMID":"29240760","abstract":"Protein-protein interactions (PPIs) formed between short linear motifs and globular domains play important roles in many regulatory and signaling processes but are highly underrepresented in current protein-protein interaction databases. These types of interactions are usually characterized by a specific binding motif that captures the key amino acids shared among the interaction partners. However, the computational proteome-level identification of interaction partners based on the known motif is hindered by the huge number of randomly occurring matches from which biologically relevant motif hits need to be extracted. In this work, we established a novel bioinformatic filtering protocol to efficiently explore interaction network of a hub protein. We introduced a novel measure that enabled the optimization of the elements and parameter settings of the pipeline which was built from multiple sequence-based prediction methods. In addition, data collected from PPI databases and evolutionary analyses were also incorporated to further increase the biological relevance of the identified motif hits. The approach was applied to the dynein light chain LC8, a ubiquitous eukaryotic hub protein that has been suggested to be involved in motor-related functions as well as promoting the dimerization of various proteins by recognizing linear motifs in its partners. From the list of putative binding motifs collected by our protocol, several novel peptides were experimentally verified to bind LC8. Altogether 71 potential new motif instances were identified. The expanded list of LC8 binding partners revealed the evolutionary plasticity of binding partners despite the highly conserved binding interface. In addition, it also highlighted a novel, conserved function of LC8 in the upstream regulation of the Hippo signaling pathway. Beyond the LC8 system, our work also provides general guidelines that can be applied to explore the interaction network of other linear motif binding proteins or protein domains.","author":[{"dropping-particle":"","family":"Erdős","given":"Gábor","non-dropping-particle":"","parse-names":false,"suffix":""},{"dropping-particle":"","family":"Szaniszló","given":"Tamás","non-dropping-particle":"","parse-names":false,"suffix":""},{"dropping-particle":"","family":"Pajkos","given":"Mátyás","non-dropping-particle":"","parse-names":false,"suffix":""},{"dropping-particle":"","family":"Hajdu-Soltész","given":"Borbála","non-dropping-particle":"","parse-names":false,"suffix":""},{"dropping-particle":"","family":"Kiss","given":"Bence","non-dropping-particle":"","parse-names":false,"suffix":""},{"dropping-particle":"","family":"Pál","given":"Gábor","non-dropping-particle":"","parse-names":false,"suffix":""},{"dropping-particle":"","family":"Nyitray","given":"László","non-dropping-particle":"","parse-names":false,"suffix":""},{"dropping-particle":"","family":"Dosztányi","given":"Zsuzsanna","non-dropping-particle":"","parse-names":false,"suffix":""}],"container-title":"PLoS computational biology","id":"ITEM-1","issue":"12","issued":{"date-parts":[["2017"]]},"page":"e1005885","publisher":"Public Library of Science","title":"Novel linear motif filtering protocol reveals the role of the LC8 dynein light chain in the Hippo pathway.","type":"article-journal","volume":"13"},"uris":["http://www.mendeley.com/documents/?uuid=5bc356c9-2450-3617-9817-e7271025f714"]}],"mendeley":{"formattedCitation":"(Erdős et al., 2017)","plainTextFormattedCitation":"(Erdős et al., 2017)","previouslyFormattedCitation":"&lt;sup&gt;2&lt;/sup&gt;"},"properties":{"noteIndex":0},"schema":"https://github.com/citation-style-language/schema/raw/master/csl-citation.json"}</w:instrText>
      </w:r>
      <w:r w:rsidR="001E7BFB">
        <w:rPr>
          <w:sz w:val="21"/>
          <w:szCs w:val="21"/>
          <w:lang w:val="en-US"/>
        </w:rPr>
        <w:fldChar w:fldCharType="separate"/>
      </w:r>
      <w:r w:rsidR="00AF57D6" w:rsidRPr="00AF57D6">
        <w:rPr>
          <w:noProof/>
          <w:sz w:val="21"/>
          <w:szCs w:val="21"/>
          <w:lang w:val="en-US"/>
        </w:rPr>
        <w:t>Erdős et al., 2017)</w:t>
      </w:r>
      <w:r w:rsidR="001E7BFB">
        <w:rPr>
          <w:sz w:val="21"/>
          <w:szCs w:val="21"/>
          <w:lang w:val="en-US"/>
        </w:rPr>
        <w:fldChar w:fldCharType="end"/>
      </w:r>
      <w:r w:rsidR="002708BC">
        <w:rPr>
          <w:sz w:val="21"/>
          <w:szCs w:val="21"/>
          <w:lang w:val="en-US"/>
        </w:rPr>
        <w:t xml:space="preserve">. </w:t>
      </w:r>
    </w:p>
    <w:p w:rsidR="009357A9" w:rsidRPr="00931790" w:rsidRDefault="006C2BA8" w:rsidP="009357A9">
      <w:pPr>
        <w:jc w:val="right"/>
        <w:rPr>
          <w:sz w:val="21"/>
          <w:szCs w:val="21"/>
          <w:lang w:val="en-US"/>
        </w:rPr>
      </w:pPr>
      <m:oMath>
        <m:sSub>
          <m:sSubPr>
            <m:ctrlPr>
              <w:rPr>
                <w:rFonts w:ascii="Cambria Math" w:hAnsi="Cambria Math"/>
                <w:i/>
                <w:sz w:val="21"/>
                <w:szCs w:val="21"/>
                <w:lang w:val="en-US"/>
              </w:rPr>
            </m:ctrlPr>
          </m:sSubPr>
          <m:e>
            <m:r>
              <w:rPr>
                <w:rFonts w:ascii="Cambria Math" w:hAnsi="Cambria Math"/>
                <w:sz w:val="21"/>
                <w:szCs w:val="21"/>
                <w:lang w:val="en-US"/>
              </w:rPr>
              <m:t>B</m:t>
            </m:r>
          </m:e>
          <m:sub>
            <m:r>
              <w:rPr>
                <w:rFonts w:ascii="Cambria Math" w:hAnsi="Cambria Math"/>
                <w:sz w:val="21"/>
                <w:szCs w:val="21"/>
                <w:lang w:val="en-US"/>
              </w:rPr>
              <m:t>ai</m:t>
            </m:r>
          </m:sub>
        </m:sSub>
        <m:r>
          <w:rPr>
            <w:rFonts w:ascii="Cambria Math" w:hAnsi="Cambria Math"/>
            <w:sz w:val="21"/>
            <w:szCs w:val="21"/>
            <w:lang w:val="en-US"/>
          </w:rPr>
          <m:t>=</m:t>
        </m:r>
        <m:f>
          <m:fPr>
            <m:ctrlPr>
              <w:rPr>
                <w:rFonts w:ascii="Cambria Math" w:hAnsi="Cambria Math"/>
                <w:i/>
                <w:sz w:val="21"/>
                <w:szCs w:val="21"/>
                <w:lang w:val="en-US"/>
              </w:rPr>
            </m:ctrlPr>
          </m:fPr>
          <m:num>
            <m:sSub>
              <m:sSubPr>
                <m:ctrlPr>
                  <w:rPr>
                    <w:rFonts w:ascii="Cambria Math" w:hAnsi="Cambria Math"/>
                    <w:i/>
                    <w:sz w:val="21"/>
                    <w:szCs w:val="21"/>
                    <w:lang w:val="en-US"/>
                  </w:rPr>
                </m:ctrlPr>
              </m:sSubPr>
              <m:e>
                <m:r>
                  <w:rPr>
                    <w:rFonts w:ascii="Cambria Math" w:hAnsi="Cambria Math"/>
                    <w:sz w:val="21"/>
                    <w:szCs w:val="21"/>
                    <w:lang w:val="en-US"/>
                  </w:rPr>
                  <m:t>C</m:t>
                </m:r>
              </m:e>
              <m:sub>
                <m:r>
                  <w:rPr>
                    <w:rFonts w:ascii="Cambria Math" w:hAnsi="Cambria Math"/>
                    <w:sz w:val="21"/>
                    <w:szCs w:val="21"/>
                    <w:lang w:val="en-US"/>
                  </w:rPr>
                  <m:t>ai</m:t>
                </m:r>
              </m:sub>
            </m:sSub>
            <m:r>
              <w:rPr>
                <w:rFonts w:ascii="Cambria Math" w:hAnsi="Cambria Math"/>
                <w:sz w:val="21"/>
                <w:szCs w:val="21"/>
                <w:lang w:val="en-US"/>
              </w:rPr>
              <m:t xml:space="preserve"> + </m:t>
            </m:r>
            <m:f>
              <m:fPr>
                <m:ctrlPr>
                  <w:rPr>
                    <w:rFonts w:ascii="Cambria Math" w:hAnsi="Cambria Math"/>
                    <w:i/>
                    <w:sz w:val="21"/>
                    <w:szCs w:val="21"/>
                    <w:lang w:val="en-US"/>
                  </w:rPr>
                </m:ctrlPr>
              </m:fPr>
              <m:num>
                <m:r>
                  <w:rPr>
                    <w:rFonts w:ascii="Cambria Math" w:hAnsi="Cambria Math"/>
                    <w:sz w:val="21"/>
                    <w:szCs w:val="21"/>
                    <w:lang w:val="en-US"/>
                  </w:rPr>
                  <m:t>D</m:t>
                </m:r>
              </m:num>
              <m:den>
                <m:r>
                  <w:rPr>
                    <w:rFonts w:ascii="Cambria Math" w:hAnsi="Cambria Math"/>
                    <w:sz w:val="21"/>
                    <w:szCs w:val="21"/>
                    <w:lang w:val="en-US"/>
                  </w:rPr>
                  <m:t>20</m:t>
                </m:r>
              </m:den>
            </m:f>
          </m:num>
          <m:den>
            <m:r>
              <w:rPr>
                <w:rFonts w:ascii="Cambria Math" w:hAnsi="Cambria Math"/>
                <w:sz w:val="21"/>
                <w:szCs w:val="21"/>
                <w:lang w:val="en-US"/>
              </w:rPr>
              <m:t xml:space="preserve">D + </m:t>
            </m:r>
            <m:nary>
              <m:naryPr>
                <m:chr m:val="∑"/>
                <m:limLoc m:val="undOvr"/>
                <m:ctrlPr>
                  <w:rPr>
                    <w:rFonts w:ascii="Cambria Math" w:hAnsi="Cambria Math"/>
                    <w:i/>
                    <w:sz w:val="21"/>
                    <w:szCs w:val="21"/>
                    <w:lang w:val="en-US"/>
                  </w:rPr>
                </m:ctrlPr>
              </m:naryPr>
              <m:sub>
                <m:r>
                  <w:rPr>
                    <w:rFonts w:ascii="Cambria Math" w:hAnsi="Cambria Math"/>
                    <w:sz w:val="21"/>
                    <w:szCs w:val="21"/>
                    <w:lang w:val="en-US"/>
                  </w:rPr>
                  <m:t>a=1</m:t>
                </m:r>
              </m:sub>
              <m:sup>
                <m:r>
                  <w:rPr>
                    <w:rFonts w:ascii="Cambria Math" w:hAnsi="Cambria Math"/>
                    <w:sz w:val="21"/>
                    <w:szCs w:val="21"/>
                    <w:lang w:val="en-US"/>
                  </w:rPr>
                  <m:t>20</m:t>
                </m:r>
              </m:sup>
              <m:e>
                <m:sSub>
                  <m:sSubPr>
                    <m:ctrlPr>
                      <w:rPr>
                        <w:rFonts w:ascii="Cambria Math" w:hAnsi="Cambria Math"/>
                        <w:i/>
                        <w:sz w:val="21"/>
                        <w:szCs w:val="21"/>
                        <w:lang w:val="en-US"/>
                      </w:rPr>
                    </m:ctrlPr>
                  </m:sSubPr>
                  <m:e>
                    <m:r>
                      <w:rPr>
                        <w:rFonts w:ascii="Cambria Math" w:hAnsi="Cambria Math"/>
                        <w:sz w:val="21"/>
                        <w:szCs w:val="21"/>
                        <w:lang w:val="en-US"/>
                      </w:rPr>
                      <m:t>C</m:t>
                    </m:r>
                  </m:e>
                  <m:sub>
                    <m:r>
                      <w:rPr>
                        <w:rFonts w:ascii="Cambria Math" w:hAnsi="Cambria Math"/>
                        <w:sz w:val="21"/>
                        <w:szCs w:val="21"/>
                        <w:lang w:val="en-US"/>
                      </w:rPr>
                      <m:t>ai</m:t>
                    </m:r>
                  </m:sub>
                </m:sSub>
                <m:r>
                  <w:rPr>
                    <w:rFonts w:ascii="Cambria Math" w:hAnsi="Cambria Math"/>
                    <w:sz w:val="21"/>
                    <w:szCs w:val="21"/>
                    <w:lang w:val="en-US"/>
                  </w:rPr>
                  <m:t xml:space="preserve"> </m:t>
                </m:r>
              </m:e>
            </m:nary>
          </m:den>
        </m:f>
      </m:oMath>
      <w:r w:rsidR="009357A9" w:rsidRPr="00931790">
        <w:rPr>
          <w:sz w:val="21"/>
          <w:szCs w:val="21"/>
          <w:lang w:val="en-US"/>
        </w:rPr>
        <w:t xml:space="preserve"> </w:t>
      </w:r>
      <w:r w:rsidR="009357A9" w:rsidRPr="00931790">
        <w:rPr>
          <w:sz w:val="21"/>
          <w:szCs w:val="21"/>
          <w:lang w:val="en-US"/>
        </w:rPr>
        <w:tab/>
      </w:r>
      <w:r w:rsidR="009357A9" w:rsidRPr="00931790">
        <w:rPr>
          <w:sz w:val="21"/>
          <w:szCs w:val="21"/>
          <w:lang w:val="en-US"/>
        </w:rPr>
        <w:tab/>
        <w:t xml:space="preserve">      </w:t>
      </w:r>
      <w:r w:rsidR="009357A9" w:rsidRPr="00931790">
        <w:rPr>
          <w:sz w:val="21"/>
          <w:szCs w:val="21"/>
          <w:lang w:val="en-US"/>
        </w:rPr>
        <w:tab/>
      </w:r>
      <w:r w:rsidR="009357A9" w:rsidRPr="00931790">
        <w:rPr>
          <w:sz w:val="21"/>
          <w:szCs w:val="21"/>
          <w:lang w:val="en-US"/>
        </w:rPr>
        <w:tab/>
        <w:t xml:space="preserve">eq. </w:t>
      </w:r>
      <w:r w:rsidR="00DF4E97">
        <w:rPr>
          <w:sz w:val="21"/>
          <w:szCs w:val="21"/>
          <w:lang w:val="en-US"/>
        </w:rPr>
        <w:t>2</w:t>
      </w:r>
      <w:r w:rsidR="009357A9" w:rsidRPr="00931790">
        <w:rPr>
          <w:sz w:val="21"/>
          <w:szCs w:val="21"/>
          <w:lang w:val="en-US"/>
        </w:rPr>
        <w:t xml:space="preserve"> </w:t>
      </w:r>
    </w:p>
    <w:p w:rsidR="009357A9" w:rsidRPr="00931790" w:rsidRDefault="009357A9" w:rsidP="009357A9">
      <w:pPr>
        <w:jc w:val="both"/>
        <w:rPr>
          <w:sz w:val="21"/>
          <w:szCs w:val="21"/>
          <w:lang w:val="en-US"/>
        </w:rPr>
      </w:pPr>
      <w:r w:rsidRPr="00931790">
        <w:rPr>
          <w:sz w:val="21"/>
          <w:szCs w:val="21"/>
          <w:lang w:val="en-US"/>
        </w:rPr>
        <w:t xml:space="preserve"> </w:t>
      </w:r>
    </w:p>
    <w:p w:rsidR="009357A9" w:rsidRPr="00931790" w:rsidRDefault="009357A9" w:rsidP="009357A9">
      <w:pPr>
        <w:jc w:val="both"/>
        <w:rPr>
          <w:sz w:val="21"/>
          <w:szCs w:val="21"/>
          <w:lang w:val="en-US"/>
        </w:rPr>
      </w:pPr>
      <w:r w:rsidRPr="00931790">
        <w:rPr>
          <w:sz w:val="21"/>
          <w:szCs w:val="21"/>
          <w:lang w:val="en-US"/>
        </w:rPr>
        <w:t>Th</w:t>
      </w:r>
      <w:r w:rsidR="002708BC">
        <w:rPr>
          <w:sz w:val="21"/>
          <w:szCs w:val="21"/>
          <w:lang w:val="en-US"/>
        </w:rPr>
        <w:t>e</w:t>
      </w:r>
      <w:r w:rsidRPr="00931790">
        <w:rPr>
          <w:sz w:val="21"/>
          <w:szCs w:val="21"/>
          <w:lang w:val="en-US"/>
        </w:rPr>
        <w:t xml:space="preserve"> frequency matrix </w:t>
      </w:r>
      <m:oMath>
        <m:sSub>
          <m:sSubPr>
            <m:ctrlPr>
              <w:rPr>
                <w:rFonts w:ascii="Cambria Math" w:hAnsi="Cambria Math"/>
                <w:i/>
                <w:sz w:val="21"/>
                <w:szCs w:val="21"/>
                <w:lang w:val="en-US"/>
              </w:rPr>
            </m:ctrlPr>
          </m:sSubPr>
          <m:e>
            <m:r>
              <w:rPr>
                <w:rFonts w:ascii="Cambria Math" w:hAnsi="Cambria Math"/>
                <w:sz w:val="21"/>
                <w:szCs w:val="21"/>
                <w:lang w:val="en-US"/>
              </w:rPr>
              <m:t>B</m:t>
            </m:r>
          </m:e>
          <m:sub>
            <m:r>
              <w:rPr>
                <w:rFonts w:ascii="Cambria Math" w:hAnsi="Cambria Math"/>
                <w:sz w:val="21"/>
                <w:szCs w:val="21"/>
                <w:lang w:val="en-US"/>
              </w:rPr>
              <m:t>ai</m:t>
            </m:r>
          </m:sub>
        </m:sSub>
      </m:oMath>
      <w:r w:rsidRPr="00931790">
        <w:rPr>
          <w:sz w:val="21"/>
          <w:szCs w:val="21"/>
          <w:lang w:val="en-US"/>
        </w:rPr>
        <w:t xml:space="preserve"> is then used to compute </w:t>
      </w:r>
      <m:oMath>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ai</m:t>
            </m:r>
          </m:sub>
          <m:sup>
            <m:r>
              <w:rPr>
                <w:rFonts w:ascii="Cambria Math" w:hAnsi="Cambria Math"/>
                <w:sz w:val="21"/>
                <w:szCs w:val="21"/>
                <w:lang w:val="en-US"/>
              </w:rPr>
              <m:t>B</m:t>
            </m:r>
          </m:sup>
        </m:sSubSup>
      </m:oMath>
      <w:r w:rsidRPr="00931790">
        <w:rPr>
          <w:sz w:val="21"/>
          <w:szCs w:val="21"/>
          <w:lang w:val="en-US"/>
        </w:rPr>
        <w:t xml:space="preserve"> as in eq. 1. In addition to a matrix informed by known binding sequences, we assembled a matrix normalized to nonbinding sequences, each determined via ITC to not bind to LC8. We aligned 32 anchor-containing sequences in the same manner as above and used them to generate a PSSM with weights </w:t>
      </w:r>
      <m:oMath>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ai</m:t>
            </m:r>
          </m:sub>
          <m:sup>
            <m:r>
              <w:rPr>
                <w:rFonts w:ascii="Cambria Math" w:hAnsi="Cambria Math"/>
                <w:sz w:val="21"/>
                <w:szCs w:val="21"/>
                <w:lang w:val="en-US"/>
              </w:rPr>
              <m:t>N</m:t>
            </m:r>
          </m:sup>
        </m:sSubSup>
        <m:r>
          <w:rPr>
            <w:rFonts w:ascii="Cambria Math" w:hAnsi="Cambria Math"/>
            <w:sz w:val="21"/>
            <w:szCs w:val="21"/>
            <w:lang w:val="en-US"/>
          </w:rPr>
          <m:t xml:space="preserve">, </m:t>
        </m:r>
      </m:oMath>
      <w:r w:rsidRPr="00931790">
        <w:rPr>
          <w:sz w:val="21"/>
          <w:szCs w:val="21"/>
          <w:lang w:val="en-US"/>
        </w:rPr>
        <w:t xml:space="preserve">incorporating both binding and nonbinding sequences. For this matrix, instead of the background frequency of a given amino acid, the frequency within the binders was normalized to the frequency </w:t>
      </w:r>
      <m:oMath>
        <m:sSub>
          <m:sSubPr>
            <m:ctrlPr>
              <w:rPr>
                <w:rFonts w:ascii="Cambria Math" w:hAnsi="Cambria Math"/>
                <w:i/>
                <w:sz w:val="21"/>
                <w:szCs w:val="21"/>
                <w:lang w:val="en-US"/>
              </w:rPr>
            </m:ctrlPr>
          </m:sSubPr>
          <m:e>
            <m:r>
              <w:rPr>
                <w:rFonts w:ascii="Cambria Math" w:hAnsi="Cambria Math"/>
                <w:sz w:val="21"/>
                <w:szCs w:val="21"/>
                <w:lang w:val="en-US"/>
              </w:rPr>
              <m:t>N</m:t>
            </m:r>
          </m:e>
          <m:sub>
            <m:r>
              <w:rPr>
                <w:rFonts w:ascii="Cambria Math" w:hAnsi="Cambria Math"/>
                <w:sz w:val="21"/>
                <w:szCs w:val="21"/>
                <w:lang w:val="en-US"/>
              </w:rPr>
              <m:t>ai</m:t>
            </m:r>
          </m:sub>
        </m:sSub>
        <m:r>
          <w:rPr>
            <w:rFonts w:ascii="Cambria Math" w:hAnsi="Cambria Math"/>
            <w:sz w:val="21"/>
            <w:szCs w:val="21"/>
            <w:lang w:val="en-US"/>
          </w:rPr>
          <m:t xml:space="preserve"> </m:t>
        </m:r>
      </m:oMath>
      <w:r w:rsidRPr="00931790">
        <w:rPr>
          <w:sz w:val="21"/>
          <w:szCs w:val="21"/>
          <w:lang w:val="en-US"/>
        </w:rPr>
        <w:t xml:space="preserve">of the same amino acid in the non-binders (eq. </w:t>
      </w:r>
      <w:r w:rsidR="00DF4E97">
        <w:rPr>
          <w:sz w:val="21"/>
          <w:szCs w:val="21"/>
          <w:lang w:val="en-US"/>
        </w:rPr>
        <w:t>3</w:t>
      </w:r>
      <w:r w:rsidRPr="00931790">
        <w:rPr>
          <w:sz w:val="21"/>
          <w:szCs w:val="21"/>
          <w:lang w:val="en-US"/>
        </w:rPr>
        <w:t xml:space="preserve">). </w:t>
      </w:r>
    </w:p>
    <w:p w:rsidR="009357A9" w:rsidRPr="00931790" w:rsidRDefault="009357A9" w:rsidP="009357A9">
      <w:pPr>
        <w:jc w:val="both"/>
        <w:rPr>
          <w:sz w:val="21"/>
          <w:szCs w:val="21"/>
          <w:lang w:val="en-US"/>
        </w:rPr>
      </w:pPr>
    </w:p>
    <w:p w:rsidR="009357A9" w:rsidRPr="00931790" w:rsidRDefault="006C2BA8" w:rsidP="009357A9">
      <w:pPr>
        <w:jc w:val="right"/>
        <w:rPr>
          <w:sz w:val="21"/>
          <w:szCs w:val="21"/>
          <w:lang w:val="en-US"/>
        </w:rPr>
      </w:pPr>
      <m:oMath>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ai</m:t>
            </m:r>
          </m:sub>
          <m:sup>
            <m:r>
              <w:rPr>
                <w:rFonts w:ascii="Cambria Math" w:hAnsi="Cambria Math"/>
                <w:sz w:val="21"/>
                <w:szCs w:val="21"/>
                <w:lang w:val="en-US"/>
              </w:rPr>
              <m:t>N</m:t>
            </m:r>
          </m:sup>
        </m:sSubSup>
        <m:r>
          <w:rPr>
            <w:rFonts w:ascii="Cambria Math" w:hAnsi="Cambria Math"/>
            <w:sz w:val="21"/>
            <w:szCs w:val="21"/>
            <w:lang w:val="en-US"/>
          </w:rPr>
          <m:t>=</m:t>
        </m:r>
        <m:sSub>
          <m:sSubPr>
            <m:ctrlPr>
              <w:rPr>
                <w:rFonts w:ascii="Cambria Math" w:hAnsi="Cambria Math"/>
                <w:sz w:val="21"/>
                <w:szCs w:val="21"/>
                <w:lang w:val="en-US"/>
              </w:rPr>
            </m:ctrlPr>
          </m:sSubPr>
          <m:e>
            <m:r>
              <m:rPr>
                <m:sty m:val="p"/>
              </m:rPr>
              <w:rPr>
                <w:rFonts w:ascii="Cambria Math" w:hAnsi="Cambria Math"/>
                <w:sz w:val="21"/>
                <w:szCs w:val="21"/>
                <w:lang w:val="en-US"/>
              </w:rPr>
              <m:t>log</m:t>
            </m:r>
          </m:e>
          <m:sub>
            <m:r>
              <w:rPr>
                <w:rFonts w:ascii="Cambria Math" w:hAnsi="Cambria Math"/>
                <w:sz w:val="21"/>
                <w:szCs w:val="21"/>
                <w:lang w:val="en-US"/>
              </w:rPr>
              <m:t>2</m:t>
            </m:r>
          </m:sub>
        </m:sSub>
        <m:d>
          <m:dPr>
            <m:ctrlPr>
              <w:rPr>
                <w:rFonts w:ascii="Cambria Math" w:hAnsi="Cambria Math"/>
                <w:i/>
                <w:sz w:val="21"/>
                <w:szCs w:val="21"/>
                <w:lang w:val="en-US"/>
              </w:rPr>
            </m:ctrlPr>
          </m:dPr>
          <m:e>
            <m:f>
              <m:fPr>
                <m:ctrlPr>
                  <w:rPr>
                    <w:rFonts w:ascii="Cambria Math" w:hAnsi="Cambria Math"/>
                    <w:i/>
                    <w:sz w:val="21"/>
                    <w:szCs w:val="21"/>
                    <w:lang w:val="en-US"/>
                  </w:rPr>
                </m:ctrlPr>
              </m:fPr>
              <m:num>
                <m:sSub>
                  <m:sSubPr>
                    <m:ctrlPr>
                      <w:rPr>
                        <w:rFonts w:ascii="Cambria Math" w:hAnsi="Cambria Math"/>
                        <w:i/>
                        <w:sz w:val="21"/>
                        <w:szCs w:val="21"/>
                        <w:lang w:val="en-US"/>
                      </w:rPr>
                    </m:ctrlPr>
                  </m:sSubPr>
                  <m:e>
                    <m:r>
                      <w:rPr>
                        <w:rFonts w:ascii="Cambria Math" w:hAnsi="Cambria Math"/>
                        <w:sz w:val="21"/>
                        <w:szCs w:val="21"/>
                        <w:lang w:val="en-US"/>
                      </w:rPr>
                      <m:t>B</m:t>
                    </m:r>
                  </m:e>
                  <m:sub>
                    <m:r>
                      <w:rPr>
                        <w:rFonts w:ascii="Cambria Math" w:hAnsi="Cambria Math"/>
                        <w:sz w:val="21"/>
                        <w:szCs w:val="21"/>
                        <w:lang w:val="en-US"/>
                      </w:rPr>
                      <m:t>ai</m:t>
                    </m:r>
                  </m:sub>
                </m:sSub>
              </m:num>
              <m:den>
                <m:sSub>
                  <m:sSubPr>
                    <m:ctrlPr>
                      <w:rPr>
                        <w:rFonts w:ascii="Cambria Math" w:hAnsi="Cambria Math"/>
                        <w:i/>
                        <w:sz w:val="21"/>
                        <w:szCs w:val="21"/>
                        <w:lang w:val="en-US"/>
                      </w:rPr>
                    </m:ctrlPr>
                  </m:sSubPr>
                  <m:e>
                    <m:r>
                      <w:rPr>
                        <w:rFonts w:ascii="Cambria Math" w:hAnsi="Cambria Math"/>
                        <w:sz w:val="21"/>
                        <w:szCs w:val="21"/>
                        <w:lang w:val="en-US"/>
                      </w:rPr>
                      <m:t>N</m:t>
                    </m:r>
                  </m:e>
                  <m:sub>
                    <m:r>
                      <w:rPr>
                        <w:rFonts w:ascii="Cambria Math" w:hAnsi="Cambria Math"/>
                        <w:sz w:val="21"/>
                        <w:szCs w:val="21"/>
                        <w:lang w:val="en-US"/>
                      </w:rPr>
                      <m:t>ai</m:t>
                    </m:r>
                  </m:sub>
                </m:sSub>
              </m:den>
            </m:f>
          </m:e>
        </m:d>
      </m:oMath>
      <w:r w:rsidR="009357A9" w:rsidRPr="00931790">
        <w:rPr>
          <w:sz w:val="21"/>
          <w:szCs w:val="21"/>
          <w:lang w:val="en-US"/>
        </w:rPr>
        <w:t xml:space="preserve"> </w:t>
      </w:r>
      <w:r w:rsidR="009357A9" w:rsidRPr="00931790">
        <w:rPr>
          <w:sz w:val="21"/>
          <w:szCs w:val="21"/>
          <w:lang w:val="en-US"/>
        </w:rPr>
        <w:tab/>
      </w:r>
      <w:r w:rsidR="009357A9" w:rsidRPr="00931790">
        <w:rPr>
          <w:sz w:val="21"/>
          <w:szCs w:val="21"/>
          <w:lang w:val="en-US"/>
        </w:rPr>
        <w:tab/>
      </w:r>
      <w:r w:rsidR="009357A9" w:rsidRPr="00931790">
        <w:rPr>
          <w:sz w:val="21"/>
          <w:szCs w:val="21"/>
          <w:lang w:val="en-US"/>
        </w:rPr>
        <w:tab/>
      </w:r>
      <w:r w:rsidR="009357A9" w:rsidRPr="00931790">
        <w:rPr>
          <w:sz w:val="21"/>
          <w:szCs w:val="21"/>
          <w:lang w:val="en-US"/>
        </w:rPr>
        <w:tab/>
        <w:t xml:space="preserve">eq. </w:t>
      </w:r>
      <w:r w:rsidR="00DF4E97">
        <w:rPr>
          <w:sz w:val="21"/>
          <w:szCs w:val="21"/>
          <w:lang w:val="en-US"/>
        </w:rPr>
        <w:t>3</w:t>
      </w:r>
    </w:p>
    <w:p w:rsidR="009357A9" w:rsidRPr="00931790" w:rsidRDefault="009357A9" w:rsidP="009357A9">
      <w:pPr>
        <w:jc w:val="both"/>
        <w:rPr>
          <w:sz w:val="21"/>
          <w:szCs w:val="21"/>
          <w:lang w:val="en-US"/>
        </w:rPr>
      </w:pPr>
    </w:p>
    <w:p w:rsidR="009357A9" w:rsidRPr="00931790" w:rsidRDefault="009357A9" w:rsidP="009357A9">
      <w:pPr>
        <w:jc w:val="both"/>
        <w:rPr>
          <w:sz w:val="21"/>
          <w:szCs w:val="21"/>
          <w:lang w:val="en-US"/>
        </w:rPr>
      </w:pPr>
      <w:proofErr w:type="spellStart"/>
      <w:r w:rsidRPr="00931790">
        <w:rPr>
          <w:i/>
          <w:sz w:val="21"/>
          <w:szCs w:val="21"/>
          <w:lang w:val="en-US"/>
        </w:rPr>
        <w:t>N</w:t>
      </w:r>
      <w:r w:rsidRPr="00931790">
        <w:rPr>
          <w:i/>
          <w:sz w:val="21"/>
          <w:szCs w:val="21"/>
          <w:vertAlign w:val="subscript"/>
          <w:lang w:val="en-US"/>
        </w:rPr>
        <w:t>ai</w:t>
      </w:r>
      <w:proofErr w:type="spellEnd"/>
      <w:r w:rsidRPr="00931790">
        <w:rPr>
          <w:i/>
          <w:sz w:val="21"/>
          <w:szCs w:val="21"/>
          <w:vertAlign w:val="subscript"/>
          <w:lang w:val="en-US"/>
        </w:rPr>
        <w:t xml:space="preserve"> </w:t>
      </w:r>
      <w:r w:rsidRPr="00931790">
        <w:rPr>
          <w:sz w:val="21"/>
          <w:szCs w:val="21"/>
          <w:lang w:val="en-US"/>
        </w:rPr>
        <w:t xml:space="preserve">was assembled in the same manner as </w:t>
      </w:r>
      <m:oMath>
        <m:sSub>
          <m:sSubPr>
            <m:ctrlPr>
              <w:rPr>
                <w:rFonts w:ascii="Cambria Math" w:hAnsi="Cambria Math"/>
                <w:i/>
                <w:sz w:val="21"/>
                <w:szCs w:val="21"/>
                <w:lang w:val="en-US"/>
              </w:rPr>
            </m:ctrlPr>
          </m:sSubPr>
          <m:e>
            <m:r>
              <w:rPr>
                <w:rFonts w:ascii="Cambria Math" w:hAnsi="Cambria Math"/>
                <w:sz w:val="21"/>
                <w:szCs w:val="21"/>
                <w:lang w:val="en-US"/>
              </w:rPr>
              <m:t>B</m:t>
            </m:r>
          </m:e>
          <m:sub>
            <m:r>
              <w:rPr>
                <w:rFonts w:ascii="Cambria Math" w:hAnsi="Cambria Math"/>
                <w:sz w:val="21"/>
                <w:szCs w:val="21"/>
                <w:lang w:val="en-US"/>
              </w:rPr>
              <m:t>ai</m:t>
            </m:r>
          </m:sub>
        </m:sSub>
      </m:oMath>
      <w:r w:rsidRPr="00931790">
        <w:rPr>
          <w:sz w:val="21"/>
          <w:szCs w:val="21"/>
          <w:lang w:val="en-US"/>
        </w:rPr>
        <w:t>, using non-binding sequences, and the resultant PSSM provides log-scale scores that reflect relative enrichments for each amino acid at a given position in the known binding sequences, versus in the known non-binding sequences. A positive</w:t>
      </w:r>
      <m:oMath>
        <m:r>
          <w:rPr>
            <w:rFonts w:ascii="Cambria Math" w:hAnsi="Cambria Math"/>
            <w:sz w:val="21"/>
            <w:szCs w:val="21"/>
            <w:lang w:val="en-US"/>
          </w:rPr>
          <m:t xml:space="preserve"> </m:t>
        </m:r>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ai</m:t>
            </m:r>
          </m:sub>
          <m:sup>
            <m:r>
              <w:rPr>
                <w:rFonts w:ascii="Cambria Math" w:hAnsi="Cambria Math"/>
                <w:sz w:val="21"/>
                <w:szCs w:val="21"/>
                <w:lang w:val="en-US"/>
              </w:rPr>
              <m:t>N</m:t>
            </m:r>
          </m:sup>
        </m:sSubSup>
      </m:oMath>
      <w:r w:rsidRPr="00931790">
        <w:rPr>
          <w:i/>
          <w:sz w:val="21"/>
          <w:szCs w:val="21"/>
          <w:vertAlign w:val="subscript"/>
          <w:lang w:val="en-US"/>
        </w:rPr>
        <w:t xml:space="preserve"> </w:t>
      </w:r>
      <w:r w:rsidRPr="00931790">
        <w:rPr>
          <w:sz w:val="21"/>
          <w:szCs w:val="21"/>
          <w:lang w:val="en-US"/>
        </w:rPr>
        <w:t xml:space="preserve">value corresponds to an amino acid at a given position being relatively enriched in the binding sequences, while a negative value corresponds to it being enriched in non-binding sequences. </w:t>
      </w:r>
    </w:p>
    <w:p w:rsidR="009357A9" w:rsidRPr="00931790" w:rsidRDefault="009357A9" w:rsidP="009357A9">
      <w:pPr>
        <w:ind w:firstLine="720"/>
        <w:jc w:val="both"/>
        <w:rPr>
          <w:rFonts w:eastAsia="Times New Roman"/>
          <w:sz w:val="21"/>
          <w:szCs w:val="21"/>
          <w:lang w:val="en-US" w:eastAsia="ja-JP"/>
        </w:rPr>
      </w:pPr>
      <w:r w:rsidRPr="00931790">
        <w:rPr>
          <w:sz w:val="21"/>
          <w:szCs w:val="21"/>
          <w:lang w:val="en-US"/>
        </w:rPr>
        <w:t xml:space="preserve">To further improve our ability to differentiate binders and non-binders, we built additional PSSMs that binned amino acids into four categories. First, PSSMs were assembled based on properties of charge and polarity, with a bin for positively charged (H,K,R), negatively charged (D,E), polar (C,N,Q,S,T,W,Y), and hydrophobic amino acids (A,F,G,I,L,M,P,V). In addition, another set of matrices was assembled based on amino acid volume, also with four bins: very small: less than 106 </w:t>
      </w:r>
      <w:r w:rsidRPr="00931790">
        <w:rPr>
          <w:rFonts w:eastAsia="Times New Roman"/>
          <w:sz w:val="21"/>
          <w:szCs w:val="21"/>
          <w:lang w:val="en-US"/>
        </w:rPr>
        <w:t>Å</w:t>
      </w:r>
      <w:r w:rsidRPr="00931790">
        <w:rPr>
          <w:sz w:val="21"/>
          <w:szCs w:val="21"/>
          <w:vertAlign w:val="superscript"/>
          <w:lang w:val="en-US"/>
        </w:rPr>
        <w:t>3</w:t>
      </w:r>
      <w:r w:rsidRPr="00931790">
        <w:rPr>
          <w:sz w:val="21"/>
          <w:szCs w:val="21"/>
          <w:lang w:val="en-US"/>
        </w:rPr>
        <w:t xml:space="preserve"> (A,C,G,S); small: 122 to 142 </w:t>
      </w:r>
      <w:r w:rsidRPr="00931790">
        <w:rPr>
          <w:rFonts w:eastAsia="Times New Roman"/>
          <w:sz w:val="21"/>
          <w:szCs w:val="21"/>
          <w:lang w:val="en-US"/>
        </w:rPr>
        <w:t>Å</w:t>
      </w:r>
      <w:r w:rsidRPr="00931790">
        <w:rPr>
          <w:sz w:val="21"/>
          <w:szCs w:val="21"/>
          <w:vertAlign w:val="superscript"/>
          <w:lang w:val="en-US"/>
        </w:rPr>
        <w:t>3</w:t>
      </w:r>
      <w:r w:rsidRPr="00931790">
        <w:rPr>
          <w:sz w:val="21"/>
          <w:szCs w:val="21"/>
          <w:lang w:val="en-US"/>
        </w:rPr>
        <w:t xml:space="preserve"> (D,N,P,T,V); medium: 155 to 171 </w:t>
      </w:r>
      <w:r w:rsidRPr="00931790">
        <w:rPr>
          <w:rFonts w:eastAsia="Times New Roman"/>
          <w:sz w:val="21"/>
          <w:szCs w:val="21"/>
          <w:lang w:val="en-US"/>
        </w:rPr>
        <w:t>Å</w:t>
      </w:r>
      <w:r w:rsidRPr="00931790">
        <w:rPr>
          <w:sz w:val="21"/>
          <w:szCs w:val="21"/>
          <w:vertAlign w:val="superscript"/>
          <w:lang w:val="en-US"/>
        </w:rPr>
        <w:t>3</w:t>
      </w:r>
      <w:r w:rsidRPr="00931790">
        <w:rPr>
          <w:sz w:val="21"/>
          <w:szCs w:val="21"/>
          <w:lang w:val="en-US"/>
        </w:rPr>
        <w:t xml:space="preserve"> (E,H,I,K,L,M,Q); and large: greater than 200 </w:t>
      </w:r>
      <w:r w:rsidRPr="00931790">
        <w:rPr>
          <w:rFonts w:eastAsia="Times New Roman"/>
          <w:sz w:val="21"/>
          <w:szCs w:val="21"/>
          <w:lang w:val="en-US"/>
        </w:rPr>
        <w:t>Å</w:t>
      </w:r>
      <w:r w:rsidRPr="00931790">
        <w:rPr>
          <w:sz w:val="21"/>
          <w:szCs w:val="21"/>
          <w:vertAlign w:val="superscript"/>
          <w:lang w:val="en-US"/>
        </w:rPr>
        <w:t>3</w:t>
      </w:r>
      <w:r w:rsidRPr="00931790">
        <w:rPr>
          <w:sz w:val="21"/>
          <w:szCs w:val="21"/>
          <w:lang w:val="en-US"/>
        </w:rPr>
        <w:t xml:space="preserve"> (F,R,W,Y</w:t>
      </w:r>
      <w:r w:rsidR="007267FD">
        <w:rPr>
          <w:sz w:val="21"/>
          <w:szCs w:val="21"/>
          <w:lang w:val="en-US"/>
        </w:rPr>
        <w:t>;</w:t>
      </w:r>
      <w:r w:rsidRPr="00931790">
        <w:rPr>
          <w:sz w:val="21"/>
          <w:szCs w:val="21"/>
          <w:lang w:val="en-US"/>
        </w:rPr>
        <w:fldChar w:fldCharType="begin" w:fldLock="1"/>
      </w:r>
      <w:r w:rsidR="00AF57D6">
        <w:rPr>
          <w:sz w:val="21"/>
          <w:szCs w:val="21"/>
          <w:lang w:val="en-US"/>
        </w:rPr>
        <w:instrText>ADDIN CSL_CITATION {"citationItems":[{"id":"ITEM-1","itemData":{"DOI":"10.1146/annurev.bb.06.060177.001055","ISSN":"0084-6589","PMID":"326146","author":[{"dropping-particle":"","family":"Richards","given":"F M","non-dropping-particle":"","parse-names":false,"suffix":""}],"container-title":"Annual Review of Biophysics and Bioengineering","id":"ITEM-1","issue":"1","issued":{"date-parts":[["1977","6"]]},"page":"151-176","title":"Areas, Volumes, Packing, and Protein Structure","type":"article-journal","volume":"6"},"uris":["http://www.mendeley.com/documents/?uuid=fdb8df14-a0fe-3621-8afb-f4f627d98678"]}],"mendeley":{"formattedCitation":"(Richards, 1977)","plainTextFormattedCitation":"(Richards, 1977)","previouslyFormattedCitation":"&lt;sup&gt;3&lt;/sup&gt;"},"properties":{"noteIndex":0},"schema":"https://github.com/citation-style-language/schema/raw/master/csl-citation.json"}</w:instrText>
      </w:r>
      <w:r w:rsidRPr="00931790">
        <w:rPr>
          <w:sz w:val="21"/>
          <w:szCs w:val="21"/>
          <w:lang w:val="en-US"/>
        </w:rPr>
        <w:fldChar w:fldCharType="separate"/>
      </w:r>
      <w:r w:rsidR="007267FD">
        <w:rPr>
          <w:noProof/>
          <w:sz w:val="21"/>
          <w:szCs w:val="21"/>
          <w:lang w:val="en-US"/>
        </w:rPr>
        <w:t xml:space="preserve"> </w:t>
      </w:r>
      <w:r w:rsidR="00AF57D6" w:rsidRPr="00AF57D6">
        <w:rPr>
          <w:noProof/>
          <w:sz w:val="21"/>
          <w:szCs w:val="21"/>
          <w:lang w:val="en-US"/>
        </w:rPr>
        <w:t>Richards, 1977)</w:t>
      </w:r>
      <w:r w:rsidRPr="00931790">
        <w:rPr>
          <w:sz w:val="21"/>
          <w:szCs w:val="21"/>
          <w:lang w:val="en-US"/>
        </w:rPr>
        <w:fldChar w:fldCharType="end"/>
      </w:r>
      <w:r w:rsidRPr="00931790">
        <w:rPr>
          <w:rFonts w:eastAsia="Times New Roman"/>
          <w:sz w:val="21"/>
          <w:szCs w:val="21"/>
          <w:lang w:val="en-US"/>
        </w:rPr>
        <w:t xml:space="preserve">. </w:t>
      </w:r>
      <w:r w:rsidRPr="00931790">
        <w:rPr>
          <w:sz w:val="21"/>
          <w:szCs w:val="21"/>
          <w:lang w:val="en-US"/>
        </w:rPr>
        <w:t>Groupings for amino acid volume were chosen to minimize the range of volumes within a given group.</w:t>
      </w:r>
    </w:p>
    <w:p w:rsidR="00B979D3" w:rsidRDefault="00B979D3" w:rsidP="009357A9">
      <w:pPr>
        <w:ind w:firstLine="720"/>
        <w:jc w:val="both"/>
        <w:rPr>
          <w:sz w:val="21"/>
          <w:szCs w:val="21"/>
          <w:lang w:val="en-US"/>
        </w:rPr>
      </w:pPr>
      <w:r>
        <w:rPr>
          <w:sz w:val="21"/>
          <w:szCs w:val="21"/>
          <w:lang w:val="en-US"/>
        </w:rPr>
        <w:t>In this manner, a total of 6 PSSMs were constructed, two each corresponding to amino acid bins, polarity/charge based bins, and volume based bins</w:t>
      </w:r>
      <w:r w:rsidR="009357A9" w:rsidRPr="00931790">
        <w:rPr>
          <w:sz w:val="21"/>
          <w:szCs w:val="21"/>
          <w:lang w:val="en-US"/>
        </w:rPr>
        <w:t>.</w:t>
      </w:r>
      <w:r>
        <w:rPr>
          <w:sz w:val="21"/>
          <w:szCs w:val="21"/>
          <w:lang w:val="en-US"/>
        </w:rPr>
        <w:t xml:space="preserve"> For a given input sequence, each matrix returns a score, equivalent to the sum of the weights at the relevant amino acids and position</w:t>
      </w:r>
      <w:r w:rsidR="00DF4E97">
        <w:rPr>
          <w:sz w:val="21"/>
          <w:szCs w:val="21"/>
          <w:lang w:val="en-US"/>
        </w:rPr>
        <w:t xml:space="preserve"> (eq. 4). </w:t>
      </w:r>
      <w:r w:rsidR="007312EC">
        <w:rPr>
          <w:sz w:val="21"/>
          <w:szCs w:val="21"/>
          <w:lang w:val="en-US"/>
        </w:rPr>
        <w:t xml:space="preserve">For clarity, each matrix was given a subscript, </w:t>
      </w:r>
      <m:oMath>
        <m:sSub>
          <m:sSubPr>
            <m:ctrlPr>
              <w:rPr>
                <w:rFonts w:ascii="Cambria Math" w:hAnsi="Cambria Math"/>
                <w:i/>
                <w:sz w:val="21"/>
                <w:szCs w:val="21"/>
                <w:lang w:val="en-US"/>
              </w:rPr>
            </m:ctrlPr>
          </m:sSubPr>
          <m:e>
            <m:r>
              <w:rPr>
                <w:rFonts w:ascii="Cambria Math" w:hAnsi="Cambria Math"/>
                <w:sz w:val="21"/>
                <w:szCs w:val="21"/>
                <w:lang w:val="en-US"/>
              </w:rPr>
              <m:t>S</m:t>
            </m:r>
          </m:e>
          <m:sub>
            <m:r>
              <w:rPr>
                <w:rFonts w:ascii="Cambria Math" w:hAnsi="Cambria Math"/>
                <w:sz w:val="21"/>
                <w:szCs w:val="21"/>
                <w:lang w:val="en-US"/>
              </w:rPr>
              <m:t>B</m:t>
            </m:r>
          </m:sub>
        </m:sSub>
      </m:oMath>
      <w:r w:rsidR="007312EC">
        <w:rPr>
          <w:sz w:val="21"/>
          <w:szCs w:val="21"/>
          <w:lang w:val="en-US"/>
        </w:rPr>
        <w:t xml:space="preserve"> for the matrices built using only binding sequences, and </w:t>
      </w:r>
      <m:oMath>
        <m:sSub>
          <m:sSubPr>
            <m:ctrlPr>
              <w:rPr>
                <w:rFonts w:ascii="Cambria Math" w:hAnsi="Cambria Math"/>
                <w:i/>
                <w:sz w:val="21"/>
                <w:szCs w:val="21"/>
                <w:lang w:val="en-US"/>
              </w:rPr>
            </m:ctrlPr>
          </m:sSubPr>
          <m:e>
            <m:r>
              <w:rPr>
                <w:rFonts w:ascii="Cambria Math" w:hAnsi="Cambria Math"/>
                <w:sz w:val="21"/>
                <w:szCs w:val="21"/>
                <w:lang w:val="en-US"/>
              </w:rPr>
              <m:t>S</m:t>
            </m:r>
          </m:e>
          <m:sub>
            <m:r>
              <w:rPr>
                <w:rFonts w:ascii="Cambria Math" w:hAnsi="Cambria Math"/>
                <w:sz w:val="21"/>
                <w:szCs w:val="21"/>
                <w:lang w:val="en-US"/>
              </w:rPr>
              <m:t>N</m:t>
            </m:r>
          </m:sub>
        </m:sSub>
      </m:oMath>
      <w:r w:rsidR="007312EC">
        <w:rPr>
          <w:sz w:val="21"/>
          <w:szCs w:val="21"/>
          <w:lang w:val="en-US"/>
        </w:rPr>
        <w:t xml:space="preserve"> for matrices using both binder and non-binder data. The polarity and charge matrices were indicated with a P (</w:t>
      </w:r>
      <m:oMath>
        <m:sSub>
          <m:sSubPr>
            <m:ctrlPr>
              <w:rPr>
                <w:rFonts w:ascii="Cambria Math" w:hAnsi="Cambria Math"/>
                <w:i/>
                <w:sz w:val="21"/>
                <w:szCs w:val="21"/>
                <w:lang w:val="en-US"/>
              </w:rPr>
            </m:ctrlPr>
          </m:sSubPr>
          <m:e>
            <m:r>
              <w:rPr>
                <w:rFonts w:ascii="Cambria Math" w:hAnsi="Cambria Math"/>
                <w:sz w:val="21"/>
                <w:szCs w:val="21"/>
                <w:lang w:val="en-US"/>
              </w:rPr>
              <m:t>S</m:t>
            </m:r>
          </m:e>
          <m:sub>
            <m:r>
              <w:rPr>
                <w:rFonts w:ascii="Cambria Math" w:hAnsi="Cambria Math"/>
                <w:sz w:val="21"/>
                <w:szCs w:val="21"/>
                <w:lang w:val="en-US"/>
              </w:rPr>
              <m:t>PB</m:t>
            </m:r>
          </m:sub>
        </m:sSub>
        <m:r>
          <w:rPr>
            <w:rFonts w:ascii="Cambria Math" w:hAnsi="Cambria Math"/>
            <w:sz w:val="21"/>
            <w:szCs w:val="21"/>
            <w:lang w:val="en-US"/>
          </w:rPr>
          <m:t xml:space="preserve">,  </m:t>
        </m:r>
        <m:sSub>
          <m:sSubPr>
            <m:ctrlPr>
              <w:rPr>
                <w:rFonts w:ascii="Cambria Math" w:hAnsi="Cambria Math"/>
                <w:i/>
                <w:sz w:val="21"/>
                <w:szCs w:val="21"/>
                <w:lang w:val="en-US"/>
              </w:rPr>
            </m:ctrlPr>
          </m:sSubPr>
          <m:e>
            <m:r>
              <w:rPr>
                <w:rFonts w:ascii="Cambria Math" w:hAnsi="Cambria Math"/>
                <w:sz w:val="21"/>
                <w:szCs w:val="21"/>
                <w:lang w:val="en-US"/>
              </w:rPr>
              <m:t>S</m:t>
            </m:r>
          </m:e>
          <m:sub>
            <m:r>
              <w:rPr>
                <w:rFonts w:ascii="Cambria Math" w:hAnsi="Cambria Math"/>
                <w:sz w:val="21"/>
                <w:szCs w:val="21"/>
                <w:lang w:val="en-US"/>
              </w:rPr>
              <m:t>PN</m:t>
            </m:r>
          </m:sub>
        </m:sSub>
      </m:oMath>
      <w:r w:rsidR="007312EC">
        <w:rPr>
          <w:sz w:val="21"/>
          <w:szCs w:val="21"/>
          <w:lang w:val="en-US"/>
        </w:rPr>
        <w:t>), and the volume matrices were indicated with a V (</w:t>
      </w:r>
      <m:oMath>
        <m:sSub>
          <m:sSubPr>
            <m:ctrlPr>
              <w:rPr>
                <w:rFonts w:ascii="Cambria Math" w:hAnsi="Cambria Math"/>
                <w:i/>
                <w:sz w:val="21"/>
                <w:szCs w:val="21"/>
                <w:lang w:val="en-US"/>
              </w:rPr>
            </m:ctrlPr>
          </m:sSubPr>
          <m:e>
            <m:r>
              <w:rPr>
                <w:rFonts w:ascii="Cambria Math" w:hAnsi="Cambria Math"/>
                <w:sz w:val="21"/>
                <w:szCs w:val="21"/>
                <w:lang w:val="en-US"/>
              </w:rPr>
              <m:t>S</m:t>
            </m:r>
          </m:e>
          <m:sub>
            <m:r>
              <w:rPr>
                <w:rFonts w:ascii="Cambria Math" w:hAnsi="Cambria Math"/>
                <w:sz w:val="21"/>
                <w:szCs w:val="21"/>
                <w:lang w:val="en-US"/>
              </w:rPr>
              <m:t>VB</m:t>
            </m:r>
          </m:sub>
        </m:sSub>
        <m:r>
          <w:rPr>
            <w:rFonts w:ascii="Cambria Math" w:hAnsi="Cambria Math"/>
            <w:sz w:val="21"/>
            <w:szCs w:val="21"/>
            <w:lang w:val="en-US"/>
          </w:rPr>
          <m:t xml:space="preserve">, </m:t>
        </m:r>
        <m:sSub>
          <m:sSubPr>
            <m:ctrlPr>
              <w:rPr>
                <w:rFonts w:ascii="Cambria Math" w:hAnsi="Cambria Math"/>
                <w:i/>
                <w:sz w:val="21"/>
                <w:szCs w:val="21"/>
                <w:lang w:val="en-US"/>
              </w:rPr>
            </m:ctrlPr>
          </m:sSubPr>
          <m:e>
            <m:r>
              <w:rPr>
                <w:rFonts w:ascii="Cambria Math" w:hAnsi="Cambria Math"/>
                <w:sz w:val="21"/>
                <w:szCs w:val="21"/>
                <w:lang w:val="en-US"/>
              </w:rPr>
              <m:t>S</m:t>
            </m:r>
          </m:e>
          <m:sub>
            <m:r>
              <w:rPr>
                <w:rFonts w:ascii="Cambria Math" w:hAnsi="Cambria Math"/>
                <w:sz w:val="21"/>
                <w:szCs w:val="21"/>
                <w:lang w:val="en-US"/>
              </w:rPr>
              <m:t>VN</m:t>
            </m:r>
          </m:sub>
        </m:sSub>
        <m:r>
          <w:rPr>
            <w:rFonts w:ascii="Cambria Math" w:hAnsi="Cambria Math"/>
            <w:sz w:val="21"/>
            <w:szCs w:val="21"/>
            <w:lang w:val="en-US"/>
          </w:rPr>
          <m:t>)</m:t>
        </m:r>
      </m:oMath>
    </w:p>
    <w:p w:rsidR="00B979D3" w:rsidRPr="00DF4E97" w:rsidRDefault="00B979D3" w:rsidP="00DF4E97">
      <w:pPr>
        <w:ind w:firstLine="720"/>
        <w:jc w:val="right"/>
        <w:rPr>
          <w:sz w:val="21"/>
          <w:szCs w:val="21"/>
          <w:lang w:val="en-US"/>
        </w:rPr>
      </w:pPr>
      <m:oMath>
        <m:r>
          <w:rPr>
            <w:rFonts w:ascii="Cambria Math" w:hAnsi="Cambria Math"/>
            <w:sz w:val="21"/>
            <w:szCs w:val="21"/>
            <w:lang w:val="en-US"/>
          </w:rPr>
          <m:t xml:space="preserve">S(p)= </m:t>
        </m:r>
        <m:nary>
          <m:naryPr>
            <m:chr m:val="∑"/>
            <m:limLoc m:val="undOvr"/>
            <m:ctrlPr>
              <w:rPr>
                <w:rFonts w:ascii="Cambria Math" w:hAnsi="Cambria Math"/>
                <w:i/>
                <w:sz w:val="21"/>
                <w:szCs w:val="21"/>
                <w:lang w:val="en-US"/>
              </w:rPr>
            </m:ctrlPr>
          </m:naryPr>
          <m:sub>
            <m:r>
              <w:rPr>
                <w:rFonts w:ascii="Cambria Math" w:hAnsi="Cambria Math"/>
                <w:sz w:val="21"/>
                <w:szCs w:val="21"/>
                <w:lang w:val="en-US"/>
              </w:rPr>
              <m:t>i=-5</m:t>
            </m:r>
          </m:sub>
          <m:sup>
            <m:r>
              <w:rPr>
                <w:rFonts w:ascii="Cambria Math" w:hAnsi="Cambria Math"/>
                <w:sz w:val="21"/>
                <w:szCs w:val="21"/>
                <w:lang w:val="en-US"/>
              </w:rPr>
              <m:t>2</m:t>
            </m:r>
          </m:sup>
          <m:e>
            <m:sSub>
              <m:sSubPr>
                <m:ctrlPr>
                  <w:rPr>
                    <w:rFonts w:ascii="Cambria Math" w:hAnsi="Cambria Math"/>
                    <w:i/>
                    <w:sz w:val="21"/>
                    <w:szCs w:val="21"/>
                    <w:lang w:val="en-US"/>
                  </w:rPr>
                </m:ctrlPr>
              </m:sSubPr>
              <m:e>
                <m:r>
                  <w:rPr>
                    <w:rFonts w:ascii="Cambria Math" w:hAnsi="Cambria Math"/>
                    <w:sz w:val="21"/>
                    <w:szCs w:val="21"/>
                    <w:lang w:val="en-US"/>
                  </w:rPr>
                  <m:t>W</m:t>
                </m:r>
              </m:e>
              <m:sub>
                <m:r>
                  <w:rPr>
                    <w:rFonts w:ascii="Cambria Math" w:hAnsi="Cambria Math"/>
                    <w:sz w:val="21"/>
                    <w:szCs w:val="21"/>
                    <w:lang w:val="en-US"/>
                  </w:rPr>
                  <m:t>P</m:t>
                </m:r>
                <m:d>
                  <m:dPr>
                    <m:begChr m:val="["/>
                    <m:endChr m:val="]"/>
                    <m:ctrlPr>
                      <w:rPr>
                        <w:rFonts w:ascii="Cambria Math" w:hAnsi="Cambria Math"/>
                        <w:i/>
                        <w:sz w:val="21"/>
                        <w:szCs w:val="21"/>
                        <w:lang w:val="en-US"/>
                      </w:rPr>
                    </m:ctrlPr>
                  </m:dPr>
                  <m:e>
                    <m:r>
                      <w:rPr>
                        <w:rFonts w:ascii="Cambria Math" w:hAnsi="Cambria Math"/>
                        <w:sz w:val="21"/>
                        <w:szCs w:val="21"/>
                        <w:lang w:val="en-US"/>
                      </w:rPr>
                      <m:t>i</m:t>
                    </m:r>
                  </m:e>
                </m:d>
                <m:r>
                  <w:rPr>
                    <w:rFonts w:ascii="Cambria Math" w:hAnsi="Cambria Math"/>
                    <w:sz w:val="21"/>
                    <w:szCs w:val="21"/>
                    <w:lang w:val="en-US"/>
                  </w:rPr>
                  <m:t>,i</m:t>
                </m:r>
              </m:sub>
            </m:sSub>
          </m:e>
        </m:nary>
      </m:oMath>
      <w:r w:rsidR="00DF4E97">
        <w:rPr>
          <w:sz w:val="21"/>
          <w:szCs w:val="21"/>
          <w:lang w:val="en-US"/>
        </w:rPr>
        <w:tab/>
      </w:r>
      <w:r w:rsidR="00DF4E97">
        <w:rPr>
          <w:sz w:val="21"/>
          <w:szCs w:val="21"/>
          <w:lang w:val="en-US"/>
        </w:rPr>
        <w:tab/>
      </w:r>
      <w:r w:rsidR="00DF4E97">
        <w:rPr>
          <w:sz w:val="21"/>
          <w:szCs w:val="21"/>
          <w:lang w:val="en-US"/>
        </w:rPr>
        <w:tab/>
      </w:r>
      <w:r w:rsidR="00DF4E97">
        <w:rPr>
          <w:sz w:val="21"/>
          <w:szCs w:val="21"/>
          <w:lang w:val="en-US"/>
        </w:rPr>
        <w:tab/>
      </w:r>
      <w:r w:rsidR="00DF4E97">
        <w:rPr>
          <w:sz w:val="21"/>
          <w:szCs w:val="21"/>
          <w:lang w:val="en-US"/>
        </w:rPr>
        <w:tab/>
        <w:t>eq. 4</w:t>
      </w:r>
    </w:p>
    <w:p w:rsidR="00B979D3" w:rsidRDefault="00B979D3" w:rsidP="00DF4E97">
      <w:pPr>
        <w:jc w:val="both"/>
        <w:rPr>
          <w:sz w:val="21"/>
          <w:szCs w:val="21"/>
          <w:lang w:val="en-US"/>
        </w:rPr>
      </w:pPr>
    </w:p>
    <w:p w:rsidR="009357A9" w:rsidRPr="00931790" w:rsidRDefault="009357A9" w:rsidP="009357A9">
      <w:pPr>
        <w:ind w:firstLine="720"/>
        <w:jc w:val="both"/>
        <w:rPr>
          <w:sz w:val="21"/>
          <w:szCs w:val="21"/>
          <w:lang w:val="en-US"/>
        </w:rPr>
      </w:pPr>
      <w:r w:rsidRPr="00931790">
        <w:rPr>
          <w:sz w:val="21"/>
          <w:szCs w:val="21"/>
          <w:lang w:val="en-US"/>
        </w:rPr>
        <w:t xml:space="preserve"> To simplify the output of our scoring system, we </w:t>
      </w:r>
      <w:r w:rsidR="007312EC">
        <w:rPr>
          <w:sz w:val="21"/>
          <w:szCs w:val="21"/>
          <w:lang w:val="en-US"/>
        </w:rPr>
        <w:t>simplified our output to two scores</w:t>
      </w:r>
      <w:r w:rsidRPr="00931790">
        <w:rPr>
          <w:sz w:val="21"/>
          <w:szCs w:val="21"/>
          <w:lang w:val="en-US"/>
        </w:rPr>
        <w:t xml:space="preserve">. The first metric used the first two matrices described, which scored input peptides on their amino acid sequence (eq. 6). The resultant score, </w:t>
      </w:r>
      <w:bookmarkStart w:id="0" w:name="_Hlk2032955"/>
      <m:oMath>
        <m:sSub>
          <m:sSubPr>
            <m:ctrlPr>
              <w:rPr>
                <w:rFonts w:ascii="Cambria Math" w:hAnsi="Cambria Math"/>
                <w:i/>
                <w:sz w:val="21"/>
                <w:szCs w:val="21"/>
                <w:lang w:val="en-US"/>
              </w:rPr>
            </m:ctrlPr>
          </m:sSubPr>
          <m:e>
            <m:r>
              <w:rPr>
                <w:rFonts w:ascii="Cambria Math" w:hAnsi="Cambria Math"/>
                <w:sz w:val="21"/>
                <w:szCs w:val="21"/>
                <w:lang w:val="en-US"/>
              </w:rPr>
              <m:t>S</m:t>
            </m:r>
          </m:e>
          <m:sub>
            <m:r>
              <w:rPr>
                <w:rFonts w:ascii="Cambria Math" w:hAnsi="Cambria Math"/>
                <w:sz w:val="21"/>
                <w:szCs w:val="21"/>
                <w:lang w:val="en-US"/>
              </w:rPr>
              <m:t>aa</m:t>
            </m:r>
          </m:sub>
        </m:sSub>
        <w:bookmarkEnd w:id="0"/>
        <m:r>
          <w:rPr>
            <w:rFonts w:ascii="Cambria Math" w:hAnsi="Cambria Math"/>
            <w:sz w:val="21"/>
            <w:szCs w:val="21"/>
            <w:lang w:val="en-US"/>
          </w:rPr>
          <m:t>(p)</m:t>
        </m:r>
      </m:oMath>
      <w:r w:rsidRPr="00931790">
        <w:rPr>
          <w:sz w:val="21"/>
          <w:szCs w:val="21"/>
          <w:lang w:val="en-US"/>
        </w:rPr>
        <w:t xml:space="preserve">, is the sum of the scores for both the binder-only matrix </w:t>
      </w:r>
      <m:oMath>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ai</m:t>
            </m:r>
          </m:sub>
          <m:sup>
            <m:r>
              <w:rPr>
                <w:rFonts w:ascii="Cambria Math" w:hAnsi="Cambria Math"/>
                <w:sz w:val="21"/>
                <w:szCs w:val="21"/>
                <w:lang w:val="en-US"/>
              </w:rPr>
              <m:t>B</m:t>
            </m:r>
          </m:sup>
        </m:sSubSup>
      </m:oMath>
      <w:r w:rsidRPr="00931790">
        <w:rPr>
          <w:sz w:val="21"/>
          <w:szCs w:val="21"/>
          <w:lang w:val="en-US"/>
        </w:rPr>
        <w:t xml:space="preserve"> and the non-binder normalized matrix </w:t>
      </w:r>
      <m:oMath>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ai</m:t>
            </m:r>
          </m:sub>
          <m:sup>
            <m:r>
              <w:rPr>
                <w:rFonts w:ascii="Cambria Math" w:hAnsi="Cambria Math"/>
                <w:sz w:val="21"/>
                <w:szCs w:val="21"/>
                <w:lang w:val="en-US"/>
              </w:rPr>
              <m:t>N</m:t>
            </m:r>
          </m:sup>
        </m:sSubSup>
      </m:oMath>
      <w:r w:rsidRPr="00931790">
        <w:rPr>
          <w:sz w:val="21"/>
          <w:szCs w:val="21"/>
          <w:lang w:val="en-US"/>
        </w:rPr>
        <w:t xml:space="preserve"> across all positions </w:t>
      </w:r>
      <m:oMath>
        <m:r>
          <w:rPr>
            <w:rFonts w:ascii="Cambria Math" w:hAnsi="Cambria Math"/>
            <w:sz w:val="21"/>
            <w:szCs w:val="21"/>
            <w:lang w:val="en-US"/>
          </w:rPr>
          <m:t>i</m:t>
        </m:r>
      </m:oMath>
      <w:r w:rsidRPr="00931790">
        <w:rPr>
          <w:sz w:val="21"/>
          <w:szCs w:val="21"/>
          <w:lang w:val="en-US"/>
        </w:rPr>
        <w:t xml:space="preserve"> in the motif. Both scores are modified by weight factors (</w:t>
      </w:r>
      <m:oMath>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B</m:t>
            </m:r>
          </m:sub>
        </m:sSub>
        <m:r>
          <w:rPr>
            <w:rFonts w:ascii="Cambria Math" w:hAnsi="Cambria Math"/>
            <w:sz w:val="21"/>
            <w:szCs w:val="21"/>
            <w:lang w:val="en-US"/>
          </w:rPr>
          <m:t>,</m:t>
        </m:r>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N</m:t>
            </m:r>
          </m:sub>
        </m:sSub>
      </m:oMath>
      <w:r w:rsidRPr="00931790">
        <w:rPr>
          <w:sz w:val="21"/>
          <w:szCs w:val="21"/>
          <w:lang w:val="en-US"/>
        </w:rPr>
        <w:t xml:space="preserve">, respectively) that were optimized using a ROC curve computed using leave-one-out cross validation, whereby a separate set of weights </w:t>
      </w:r>
      <m:oMath>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p</m:t>
            </m:r>
            <m:d>
              <m:dPr>
                <m:begChr m:val="["/>
                <m:endChr m:val="]"/>
                <m:ctrlPr>
                  <w:rPr>
                    <w:rFonts w:ascii="Cambria Math" w:hAnsi="Cambria Math"/>
                    <w:i/>
                    <w:sz w:val="21"/>
                    <w:szCs w:val="21"/>
                    <w:lang w:val="en-US"/>
                  </w:rPr>
                </m:ctrlPr>
              </m:dPr>
              <m:e>
                <m:r>
                  <w:rPr>
                    <w:rFonts w:ascii="Cambria Math" w:hAnsi="Cambria Math"/>
                    <w:sz w:val="21"/>
                    <w:szCs w:val="21"/>
                    <w:lang w:val="en-US"/>
                  </w:rPr>
                  <m:t>i</m:t>
                </m:r>
              </m:e>
            </m:d>
            <m:r>
              <w:rPr>
                <w:rFonts w:ascii="Cambria Math" w:hAnsi="Cambria Math"/>
                <w:sz w:val="21"/>
                <w:szCs w:val="21"/>
                <w:lang w:val="en-US"/>
              </w:rPr>
              <m:t>,i</m:t>
            </m:r>
          </m:sub>
          <m:sup>
            <m:r>
              <w:rPr>
                <w:rFonts w:ascii="Cambria Math" w:hAnsi="Cambria Math"/>
                <w:sz w:val="21"/>
                <w:szCs w:val="21"/>
                <w:lang w:val="en-US"/>
              </w:rPr>
              <m:t>B</m:t>
            </m:r>
          </m:sup>
        </m:sSubSup>
        <m:r>
          <w:rPr>
            <w:rFonts w:ascii="Cambria Math" w:hAnsi="Cambria Math"/>
            <w:sz w:val="21"/>
            <w:szCs w:val="21"/>
            <w:lang w:val="en-US"/>
          </w:rPr>
          <m:t>,</m:t>
        </m:r>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p</m:t>
            </m:r>
            <m:d>
              <m:dPr>
                <m:begChr m:val="["/>
                <m:endChr m:val="]"/>
                <m:ctrlPr>
                  <w:rPr>
                    <w:rFonts w:ascii="Cambria Math" w:hAnsi="Cambria Math"/>
                    <w:i/>
                    <w:sz w:val="21"/>
                    <w:szCs w:val="21"/>
                    <w:lang w:val="en-US"/>
                  </w:rPr>
                </m:ctrlPr>
              </m:dPr>
              <m:e>
                <m:r>
                  <w:rPr>
                    <w:rFonts w:ascii="Cambria Math" w:hAnsi="Cambria Math"/>
                    <w:sz w:val="21"/>
                    <w:szCs w:val="21"/>
                    <w:lang w:val="en-US"/>
                  </w:rPr>
                  <m:t>i</m:t>
                </m:r>
              </m:e>
            </m:d>
            <m:r>
              <w:rPr>
                <w:rFonts w:ascii="Cambria Math" w:hAnsi="Cambria Math"/>
                <w:sz w:val="21"/>
                <w:szCs w:val="21"/>
                <w:lang w:val="en-US"/>
              </w:rPr>
              <m:t xml:space="preserve">,i </m:t>
            </m:r>
          </m:sub>
          <m:sup>
            <m:r>
              <w:rPr>
                <w:rFonts w:ascii="Cambria Math" w:hAnsi="Cambria Math"/>
                <w:sz w:val="21"/>
                <w:szCs w:val="21"/>
                <w:lang w:val="en-US"/>
              </w:rPr>
              <m:t>N</m:t>
            </m:r>
          </m:sup>
        </m:sSubSup>
      </m:oMath>
      <w:r w:rsidRPr="00931790">
        <w:rPr>
          <w:sz w:val="21"/>
          <w:szCs w:val="21"/>
          <w:lang w:val="en-US"/>
        </w:rPr>
        <w:t xml:space="preserve">was calculated at the exclusion of each peptide. </w:t>
      </w:r>
    </w:p>
    <w:p w:rsidR="009357A9" w:rsidRPr="00931790" w:rsidRDefault="009357A9" w:rsidP="009357A9">
      <w:pPr>
        <w:jc w:val="both"/>
        <w:rPr>
          <w:sz w:val="21"/>
          <w:szCs w:val="21"/>
          <w:lang w:val="en-US"/>
        </w:rPr>
      </w:pPr>
    </w:p>
    <w:p w:rsidR="009357A9" w:rsidRPr="00931790" w:rsidRDefault="006C2BA8" w:rsidP="009357A9">
      <w:pPr>
        <w:jc w:val="right"/>
        <w:rPr>
          <w:sz w:val="21"/>
          <w:szCs w:val="21"/>
          <w:lang w:val="en-US"/>
        </w:rPr>
      </w:pPr>
      <m:oMath>
        <m:sSub>
          <m:sSubPr>
            <m:ctrlPr>
              <w:rPr>
                <w:rFonts w:ascii="Cambria Math" w:hAnsi="Cambria Math"/>
                <w:i/>
                <w:sz w:val="21"/>
                <w:szCs w:val="21"/>
                <w:lang w:val="en-US"/>
              </w:rPr>
            </m:ctrlPr>
          </m:sSubPr>
          <m:e>
            <m:r>
              <w:rPr>
                <w:rFonts w:ascii="Cambria Math" w:hAnsi="Cambria Math"/>
                <w:sz w:val="21"/>
                <w:szCs w:val="21"/>
                <w:lang w:val="en-US"/>
              </w:rPr>
              <m:t>S</m:t>
            </m:r>
          </m:e>
          <m:sub>
            <m:r>
              <w:rPr>
                <w:rFonts w:ascii="Cambria Math" w:hAnsi="Cambria Math"/>
                <w:sz w:val="21"/>
                <w:szCs w:val="21"/>
                <w:lang w:val="en-US"/>
              </w:rPr>
              <m:t>aa</m:t>
            </m:r>
          </m:sub>
        </m:sSub>
        <m:r>
          <w:rPr>
            <w:rFonts w:ascii="Cambria Math" w:hAnsi="Cambria Math"/>
            <w:sz w:val="21"/>
            <w:szCs w:val="21"/>
            <w:lang w:val="en-US"/>
          </w:rPr>
          <m:t xml:space="preserve">(p)= </m:t>
        </m:r>
        <m:nary>
          <m:naryPr>
            <m:chr m:val="∑"/>
            <m:limLoc m:val="undOvr"/>
            <m:ctrlPr>
              <w:rPr>
                <w:rFonts w:ascii="Cambria Math" w:hAnsi="Cambria Math"/>
                <w:i/>
                <w:sz w:val="21"/>
                <w:szCs w:val="21"/>
                <w:lang w:val="en-US"/>
              </w:rPr>
            </m:ctrlPr>
          </m:naryPr>
          <m:sub>
            <m:r>
              <w:rPr>
                <w:rFonts w:ascii="Cambria Math" w:hAnsi="Cambria Math"/>
                <w:sz w:val="21"/>
                <w:szCs w:val="21"/>
                <w:lang w:val="en-US"/>
              </w:rPr>
              <m:t>i=-5</m:t>
            </m:r>
          </m:sub>
          <m:sup>
            <m:r>
              <w:rPr>
                <w:rFonts w:ascii="Cambria Math" w:hAnsi="Cambria Math"/>
                <w:sz w:val="21"/>
                <w:szCs w:val="21"/>
                <w:lang w:val="en-US"/>
              </w:rPr>
              <m:t>2</m:t>
            </m:r>
          </m:sup>
          <m:e>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B</m:t>
                </m:r>
              </m:sub>
            </m:sSub>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p</m:t>
                </m:r>
                <m:d>
                  <m:dPr>
                    <m:begChr m:val="["/>
                    <m:endChr m:val="]"/>
                    <m:ctrlPr>
                      <w:rPr>
                        <w:rFonts w:ascii="Cambria Math" w:hAnsi="Cambria Math"/>
                        <w:i/>
                        <w:sz w:val="21"/>
                        <w:szCs w:val="21"/>
                        <w:lang w:val="en-US"/>
                      </w:rPr>
                    </m:ctrlPr>
                  </m:dPr>
                  <m:e>
                    <m:r>
                      <w:rPr>
                        <w:rFonts w:ascii="Cambria Math" w:hAnsi="Cambria Math"/>
                        <w:sz w:val="21"/>
                        <w:szCs w:val="21"/>
                        <w:lang w:val="en-US"/>
                      </w:rPr>
                      <m:t>i</m:t>
                    </m:r>
                  </m:e>
                </m:d>
                <m:r>
                  <w:rPr>
                    <w:rFonts w:ascii="Cambria Math" w:hAnsi="Cambria Math"/>
                    <w:sz w:val="21"/>
                    <w:szCs w:val="21"/>
                    <w:lang w:val="en-US"/>
                  </w:rPr>
                  <m:t>,i</m:t>
                </m:r>
              </m:sub>
              <m:sup>
                <m:r>
                  <w:rPr>
                    <w:rFonts w:ascii="Cambria Math" w:hAnsi="Cambria Math"/>
                    <w:sz w:val="21"/>
                    <w:szCs w:val="21"/>
                    <w:lang w:val="en-US"/>
                  </w:rPr>
                  <m:t>B</m:t>
                </m:r>
              </m:sup>
            </m:sSubSup>
            <m:r>
              <w:rPr>
                <w:rFonts w:ascii="Cambria Math" w:hAnsi="Cambria Math"/>
                <w:sz w:val="21"/>
                <w:szCs w:val="21"/>
                <w:lang w:val="en-US"/>
              </w:rPr>
              <m:t>+</m:t>
            </m:r>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N</m:t>
                </m:r>
              </m:sub>
            </m:sSub>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p</m:t>
                </m:r>
                <m:d>
                  <m:dPr>
                    <m:begChr m:val="["/>
                    <m:endChr m:val="]"/>
                    <m:ctrlPr>
                      <w:rPr>
                        <w:rFonts w:ascii="Cambria Math" w:hAnsi="Cambria Math"/>
                        <w:i/>
                        <w:sz w:val="21"/>
                        <w:szCs w:val="21"/>
                        <w:lang w:val="en-US"/>
                      </w:rPr>
                    </m:ctrlPr>
                  </m:dPr>
                  <m:e>
                    <m:r>
                      <w:rPr>
                        <w:rFonts w:ascii="Cambria Math" w:hAnsi="Cambria Math"/>
                        <w:sz w:val="21"/>
                        <w:szCs w:val="21"/>
                        <w:lang w:val="en-US"/>
                      </w:rPr>
                      <m:t>i</m:t>
                    </m:r>
                  </m:e>
                </m:d>
                <m:r>
                  <w:rPr>
                    <w:rFonts w:ascii="Cambria Math" w:hAnsi="Cambria Math"/>
                    <w:sz w:val="21"/>
                    <w:szCs w:val="21"/>
                    <w:lang w:val="en-US"/>
                  </w:rPr>
                  <m:t>,i</m:t>
                </m:r>
              </m:sub>
              <m:sup>
                <m:r>
                  <w:rPr>
                    <w:rFonts w:ascii="Cambria Math" w:hAnsi="Cambria Math"/>
                    <w:sz w:val="21"/>
                    <w:szCs w:val="21"/>
                    <w:lang w:val="en-US"/>
                  </w:rPr>
                  <m:t>N</m:t>
                </m:r>
              </m:sup>
            </m:sSubSup>
            <m:r>
              <w:rPr>
                <w:rFonts w:ascii="Cambria Math" w:hAnsi="Cambria Math"/>
                <w:sz w:val="21"/>
                <w:szCs w:val="21"/>
                <w:lang w:val="en-US"/>
              </w:rPr>
              <m:t>)</m:t>
            </m:r>
          </m:e>
        </m:nary>
      </m:oMath>
      <w:r w:rsidR="009357A9" w:rsidRPr="00931790">
        <w:rPr>
          <w:sz w:val="21"/>
          <w:szCs w:val="21"/>
          <w:lang w:val="en-US"/>
        </w:rPr>
        <w:t xml:space="preserve"> </w:t>
      </w:r>
      <w:r w:rsidR="009357A9" w:rsidRPr="00931790">
        <w:rPr>
          <w:sz w:val="21"/>
          <w:szCs w:val="21"/>
          <w:lang w:val="en-US"/>
        </w:rPr>
        <w:tab/>
      </w:r>
      <w:r w:rsidR="009357A9" w:rsidRPr="00931790">
        <w:rPr>
          <w:sz w:val="21"/>
          <w:szCs w:val="21"/>
          <w:lang w:val="en-US"/>
        </w:rPr>
        <w:tab/>
      </w:r>
      <w:r w:rsidR="009357A9" w:rsidRPr="00931790">
        <w:rPr>
          <w:sz w:val="21"/>
          <w:szCs w:val="21"/>
          <w:lang w:val="en-US"/>
        </w:rPr>
        <w:tab/>
        <w:t xml:space="preserve">eq. </w:t>
      </w:r>
      <w:r w:rsidR="00132058">
        <w:rPr>
          <w:sz w:val="21"/>
          <w:szCs w:val="21"/>
          <w:lang w:val="en-US"/>
        </w:rPr>
        <w:t>5</w:t>
      </w:r>
    </w:p>
    <w:p w:rsidR="009357A9" w:rsidRPr="00931790" w:rsidRDefault="009357A9" w:rsidP="009357A9">
      <w:pPr>
        <w:jc w:val="both"/>
        <w:rPr>
          <w:sz w:val="21"/>
          <w:szCs w:val="21"/>
          <w:lang w:val="en-US"/>
        </w:rPr>
      </w:pPr>
    </w:p>
    <w:p w:rsidR="009357A9" w:rsidRPr="00931790" w:rsidRDefault="009357A9" w:rsidP="009357A9">
      <w:pPr>
        <w:jc w:val="both"/>
        <w:rPr>
          <w:color w:val="FF0000"/>
          <w:sz w:val="21"/>
          <w:szCs w:val="21"/>
          <w:lang w:val="en-US"/>
        </w:rPr>
      </w:pPr>
      <w:r w:rsidRPr="00931790">
        <w:rPr>
          <w:sz w:val="21"/>
          <w:szCs w:val="21"/>
          <w:lang w:val="en-US"/>
        </w:rPr>
        <w:t xml:space="preserve">The second metric scored sequences based on their volume and polarity properties, using values from our four additional PSSMS score (eq. 7). The score </w:t>
      </w:r>
      <m:oMath>
        <m:sSub>
          <m:sSubPr>
            <m:ctrlPr>
              <w:rPr>
                <w:rFonts w:ascii="Cambria Math" w:hAnsi="Cambria Math"/>
                <w:sz w:val="21"/>
                <w:szCs w:val="21"/>
                <w:lang w:val="en-US"/>
              </w:rPr>
            </m:ctrlPr>
          </m:sSubPr>
          <m:e>
            <m:r>
              <w:rPr>
                <w:rFonts w:ascii="Cambria Math" w:hAnsi="Cambria Math"/>
                <w:sz w:val="21"/>
                <w:szCs w:val="21"/>
                <w:lang w:val="en-US"/>
              </w:rPr>
              <m:t>S</m:t>
            </m:r>
          </m:e>
          <m:sub>
            <m:r>
              <w:rPr>
                <w:rFonts w:ascii="Cambria Math" w:hAnsi="Cambria Math"/>
                <w:sz w:val="21"/>
                <w:szCs w:val="21"/>
                <w:lang w:val="en-US"/>
              </w:rPr>
              <m:t>vp</m:t>
            </m:r>
          </m:sub>
        </m:sSub>
      </m:oMath>
      <w:r w:rsidRPr="00931790">
        <w:rPr>
          <w:sz w:val="21"/>
          <w:szCs w:val="21"/>
          <w:lang w:val="en-US"/>
        </w:rPr>
        <w:t>(</w:t>
      </w:r>
      <w:r w:rsidRPr="00931790">
        <w:rPr>
          <w:i/>
          <w:sz w:val="21"/>
          <w:szCs w:val="21"/>
          <w:lang w:val="en-US"/>
        </w:rPr>
        <w:t>p</w:t>
      </w:r>
      <w:r w:rsidRPr="00931790">
        <w:rPr>
          <w:sz w:val="21"/>
          <w:szCs w:val="21"/>
          <w:lang w:val="en-US"/>
        </w:rPr>
        <w:t xml:space="preserve">) combines scores from a background frequency normalized matrix with polarity bins </w:t>
      </w:r>
      <m:oMath>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ai</m:t>
            </m:r>
          </m:sub>
          <m:sup>
            <m:r>
              <w:rPr>
                <w:rFonts w:ascii="Cambria Math" w:hAnsi="Cambria Math"/>
                <w:sz w:val="21"/>
                <w:szCs w:val="21"/>
                <w:lang w:val="en-US"/>
              </w:rPr>
              <m:t>PB</m:t>
            </m:r>
          </m:sup>
        </m:sSubSup>
      </m:oMath>
      <w:r w:rsidRPr="00931790">
        <w:rPr>
          <w:sz w:val="21"/>
          <w:szCs w:val="21"/>
          <w:lang w:val="en-US"/>
        </w:rPr>
        <w:t xml:space="preserve">, a non-binder normalized matrix with polarity bins </w:t>
      </w:r>
      <m:oMath>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ai</m:t>
            </m:r>
          </m:sub>
          <m:sup>
            <m:r>
              <w:rPr>
                <w:rFonts w:ascii="Cambria Math" w:hAnsi="Cambria Math"/>
                <w:sz w:val="21"/>
                <w:szCs w:val="21"/>
                <w:lang w:val="en-US"/>
              </w:rPr>
              <m:t>PN</m:t>
            </m:r>
          </m:sup>
        </m:sSubSup>
      </m:oMath>
      <w:r w:rsidRPr="00931790">
        <w:rPr>
          <w:sz w:val="21"/>
          <w:szCs w:val="21"/>
          <w:lang w:val="en-US"/>
        </w:rPr>
        <w:t xml:space="preserve">, as well as equivalent matrices using volume bins </w:t>
      </w:r>
      <m:oMath>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ai</m:t>
            </m:r>
          </m:sub>
          <m:sup>
            <m:r>
              <w:rPr>
                <w:rFonts w:ascii="Cambria Math" w:hAnsi="Cambria Math"/>
                <w:sz w:val="21"/>
                <w:szCs w:val="21"/>
                <w:lang w:val="en-US"/>
              </w:rPr>
              <m:t>VB</m:t>
            </m:r>
          </m:sup>
        </m:sSubSup>
        <m:r>
          <w:rPr>
            <w:rFonts w:ascii="Cambria Math" w:hAnsi="Cambria Math"/>
            <w:sz w:val="21"/>
            <w:szCs w:val="21"/>
            <w:lang w:val="en-US"/>
          </w:rPr>
          <m:t>,</m:t>
        </m:r>
        <m:sSubSup>
          <m:sSubSupPr>
            <m:ctrlPr>
              <w:rPr>
                <w:rFonts w:ascii="Cambria Math" w:hAnsi="Cambria Math"/>
                <w:i/>
                <w:sz w:val="21"/>
                <w:szCs w:val="21"/>
                <w:lang w:val="en-US"/>
              </w:rPr>
            </m:ctrlPr>
          </m:sSubSupPr>
          <m:e>
            <m:r>
              <w:rPr>
                <w:rFonts w:ascii="Cambria Math" w:hAnsi="Cambria Math"/>
                <w:sz w:val="21"/>
                <w:szCs w:val="21"/>
                <w:lang w:val="en-US"/>
              </w:rPr>
              <m:t xml:space="preserve"> W</m:t>
            </m:r>
          </m:e>
          <m:sub>
            <m:r>
              <w:rPr>
                <w:rFonts w:ascii="Cambria Math" w:hAnsi="Cambria Math"/>
                <w:sz w:val="21"/>
                <w:szCs w:val="21"/>
                <w:lang w:val="en-US"/>
              </w:rPr>
              <m:t>ai</m:t>
            </m:r>
          </m:sub>
          <m:sup>
            <m:r>
              <w:rPr>
                <w:rFonts w:ascii="Cambria Math" w:hAnsi="Cambria Math"/>
                <w:sz w:val="21"/>
                <w:szCs w:val="21"/>
                <w:lang w:val="en-US"/>
              </w:rPr>
              <m:t>VN</m:t>
            </m:r>
          </m:sup>
        </m:sSubSup>
      </m:oMath>
      <w:r w:rsidRPr="00931790">
        <w:rPr>
          <w:sz w:val="21"/>
          <w:szCs w:val="21"/>
          <w:lang w:val="en-US"/>
        </w:rPr>
        <w:t>. These were also modified by weight factors,</w:t>
      </w:r>
      <w:r w:rsidRPr="00931790" w:rsidDel="003C4886">
        <w:rPr>
          <w:sz w:val="21"/>
          <w:szCs w:val="21"/>
          <w:lang w:val="en-US"/>
        </w:rPr>
        <w:t xml:space="preserve"> </w:t>
      </w:r>
      <m:oMath>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PB</m:t>
            </m:r>
          </m:sub>
        </m:sSub>
      </m:oMath>
      <w:r w:rsidRPr="00931790">
        <w:rPr>
          <w:sz w:val="21"/>
          <w:szCs w:val="21"/>
          <w:lang w:val="en-US"/>
        </w:rPr>
        <w:t xml:space="preserve">, </w:t>
      </w:r>
      <m:oMath>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PN</m:t>
            </m:r>
          </m:sub>
        </m:sSub>
      </m:oMath>
      <w:r w:rsidRPr="00931790">
        <w:rPr>
          <w:sz w:val="21"/>
          <w:szCs w:val="21"/>
          <w:lang w:val="en-US"/>
        </w:rPr>
        <w:t xml:space="preserve">, </w:t>
      </w:r>
      <m:oMath>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VB</m:t>
            </m:r>
          </m:sub>
        </m:sSub>
      </m:oMath>
      <w:r w:rsidRPr="00931790">
        <w:rPr>
          <w:sz w:val="21"/>
          <w:szCs w:val="21"/>
          <w:lang w:val="en-US"/>
        </w:rPr>
        <w:t xml:space="preserve">, </w:t>
      </w:r>
      <m:oMath>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VN</m:t>
            </m:r>
          </m:sub>
        </m:sSub>
      </m:oMath>
      <w:r w:rsidRPr="00931790">
        <w:rPr>
          <w:sz w:val="21"/>
          <w:szCs w:val="21"/>
          <w:lang w:val="en-US"/>
        </w:rPr>
        <w:t>.</w:t>
      </w:r>
    </w:p>
    <w:p w:rsidR="009357A9" w:rsidRPr="00931790" w:rsidRDefault="009357A9" w:rsidP="009357A9">
      <w:pPr>
        <w:jc w:val="both"/>
        <w:rPr>
          <w:color w:val="FF0000"/>
          <w:sz w:val="21"/>
          <w:szCs w:val="21"/>
          <w:lang w:val="en-US"/>
        </w:rPr>
      </w:pPr>
    </w:p>
    <w:p w:rsidR="009357A9" w:rsidRPr="00931790" w:rsidRDefault="006C2BA8" w:rsidP="009357A9">
      <w:pPr>
        <w:jc w:val="right"/>
        <w:rPr>
          <w:sz w:val="21"/>
          <w:szCs w:val="21"/>
          <w:lang w:val="en-US"/>
        </w:rPr>
      </w:pPr>
      <m:oMath>
        <m:sSub>
          <m:sSubPr>
            <m:ctrlPr>
              <w:rPr>
                <w:rFonts w:ascii="Cambria Math" w:hAnsi="Cambria Math"/>
                <w:i/>
                <w:sz w:val="21"/>
                <w:szCs w:val="21"/>
                <w:lang w:val="en-US"/>
              </w:rPr>
            </m:ctrlPr>
          </m:sSubPr>
          <m:e>
            <m:r>
              <w:rPr>
                <w:rFonts w:ascii="Cambria Math" w:hAnsi="Cambria Math"/>
                <w:sz w:val="21"/>
                <w:szCs w:val="21"/>
                <w:lang w:val="en-US"/>
              </w:rPr>
              <m:t>S</m:t>
            </m:r>
          </m:e>
          <m:sub>
            <m:r>
              <w:rPr>
                <w:rFonts w:ascii="Cambria Math" w:hAnsi="Cambria Math"/>
                <w:sz w:val="21"/>
                <w:szCs w:val="21"/>
                <w:lang w:val="en-US"/>
              </w:rPr>
              <m:t>VP</m:t>
            </m:r>
          </m:sub>
        </m:sSub>
        <m:r>
          <w:rPr>
            <w:rFonts w:ascii="Cambria Math" w:hAnsi="Cambria Math"/>
            <w:sz w:val="21"/>
            <w:szCs w:val="21"/>
            <w:lang w:val="en-US"/>
          </w:rPr>
          <m:t xml:space="preserve">(p)= </m:t>
        </m:r>
        <m:nary>
          <m:naryPr>
            <m:chr m:val="∑"/>
            <m:limLoc m:val="undOvr"/>
            <m:ctrlPr>
              <w:rPr>
                <w:rFonts w:ascii="Cambria Math" w:hAnsi="Cambria Math"/>
                <w:i/>
                <w:sz w:val="21"/>
                <w:szCs w:val="21"/>
                <w:lang w:val="en-US"/>
              </w:rPr>
            </m:ctrlPr>
          </m:naryPr>
          <m:sub>
            <m:r>
              <w:rPr>
                <w:rFonts w:ascii="Cambria Math" w:hAnsi="Cambria Math"/>
                <w:sz w:val="21"/>
                <w:szCs w:val="21"/>
                <w:lang w:val="en-US"/>
              </w:rPr>
              <m:t>i=-5</m:t>
            </m:r>
          </m:sub>
          <m:sup>
            <m:r>
              <w:rPr>
                <w:rFonts w:ascii="Cambria Math" w:hAnsi="Cambria Math"/>
                <w:sz w:val="21"/>
                <w:szCs w:val="21"/>
                <w:lang w:val="en-US"/>
              </w:rPr>
              <m:t>2</m:t>
            </m:r>
          </m:sup>
          <m:e>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PB</m:t>
                </m:r>
              </m:sub>
            </m:sSub>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p</m:t>
                </m:r>
                <m:d>
                  <m:dPr>
                    <m:begChr m:val="["/>
                    <m:endChr m:val="]"/>
                    <m:ctrlPr>
                      <w:rPr>
                        <w:rFonts w:ascii="Cambria Math" w:hAnsi="Cambria Math"/>
                        <w:i/>
                        <w:sz w:val="21"/>
                        <w:szCs w:val="21"/>
                        <w:lang w:val="en-US"/>
                      </w:rPr>
                    </m:ctrlPr>
                  </m:dPr>
                  <m:e>
                    <m:r>
                      <w:rPr>
                        <w:rFonts w:ascii="Cambria Math" w:hAnsi="Cambria Math"/>
                        <w:sz w:val="21"/>
                        <w:szCs w:val="21"/>
                        <w:lang w:val="en-US"/>
                      </w:rPr>
                      <m:t>i</m:t>
                    </m:r>
                  </m:e>
                </m:d>
                <m:r>
                  <w:rPr>
                    <w:rFonts w:ascii="Cambria Math" w:hAnsi="Cambria Math"/>
                    <w:sz w:val="21"/>
                    <w:szCs w:val="21"/>
                    <w:lang w:val="en-US"/>
                  </w:rPr>
                  <m:t>,i</m:t>
                </m:r>
              </m:sub>
              <m:sup>
                <m:r>
                  <w:rPr>
                    <w:rFonts w:ascii="Cambria Math" w:hAnsi="Cambria Math"/>
                    <w:sz w:val="21"/>
                    <w:szCs w:val="21"/>
                    <w:lang w:val="en-US"/>
                  </w:rPr>
                  <m:t>PB</m:t>
                </m:r>
              </m:sup>
            </m:sSubSup>
            <m:r>
              <w:rPr>
                <w:rFonts w:ascii="Cambria Math" w:hAnsi="Cambria Math"/>
                <w:sz w:val="21"/>
                <w:szCs w:val="21"/>
                <w:lang w:val="en-US"/>
              </w:rPr>
              <m:t>+</m:t>
            </m:r>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PN</m:t>
                </m:r>
              </m:sub>
            </m:sSub>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p</m:t>
                </m:r>
                <m:d>
                  <m:dPr>
                    <m:begChr m:val="["/>
                    <m:endChr m:val="]"/>
                    <m:ctrlPr>
                      <w:rPr>
                        <w:rFonts w:ascii="Cambria Math" w:hAnsi="Cambria Math"/>
                        <w:i/>
                        <w:sz w:val="21"/>
                        <w:szCs w:val="21"/>
                        <w:lang w:val="en-US"/>
                      </w:rPr>
                    </m:ctrlPr>
                  </m:dPr>
                  <m:e>
                    <m:r>
                      <w:rPr>
                        <w:rFonts w:ascii="Cambria Math" w:hAnsi="Cambria Math"/>
                        <w:sz w:val="21"/>
                        <w:szCs w:val="21"/>
                        <w:lang w:val="en-US"/>
                      </w:rPr>
                      <m:t>i</m:t>
                    </m:r>
                  </m:e>
                </m:d>
                <m:r>
                  <w:rPr>
                    <w:rFonts w:ascii="Cambria Math" w:hAnsi="Cambria Math"/>
                    <w:sz w:val="21"/>
                    <w:szCs w:val="21"/>
                    <w:lang w:val="en-US"/>
                  </w:rPr>
                  <m:t>,i</m:t>
                </m:r>
              </m:sub>
              <m:sup>
                <m:r>
                  <w:rPr>
                    <w:rFonts w:ascii="Cambria Math" w:hAnsi="Cambria Math"/>
                    <w:sz w:val="21"/>
                    <w:szCs w:val="21"/>
                    <w:lang w:val="en-US"/>
                  </w:rPr>
                  <m:t>PN</m:t>
                </m:r>
              </m:sup>
            </m:sSubSup>
            <m:r>
              <w:rPr>
                <w:rFonts w:ascii="Cambria Math" w:hAnsi="Cambria Math"/>
                <w:sz w:val="21"/>
                <w:szCs w:val="21"/>
                <w:lang w:val="en-US"/>
              </w:rPr>
              <m:t>+</m:t>
            </m:r>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VB</m:t>
                </m:r>
              </m:sub>
            </m:sSub>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p</m:t>
                </m:r>
                <m:d>
                  <m:dPr>
                    <m:begChr m:val="["/>
                    <m:endChr m:val="]"/>
                    <m:ctrlPr>
                      <w:rPr>
                        <w:rFonts w:ascii="Cambria Math" w:hAnsi="Cambria Math"/>
                        <w:i/>
                        <w:sz w:val="21"/>
                        <w:szCs w:val="21"/>
                        <w:lang w:val="en-US"/>
                      </w:rPr>
                    </m:ctrlPr>
                  </m:dPr>
                  <m:e>
                    <m:r>
                      <w:rPr>
                        <w:rFonts w:ascii="Cambria Math" w:hAnsi="Cambria Math"/>
                        <w:sz w:val="21"/>
                        <w:szCs w:val="21"/>
                        <w:lang w:val="en-US"/>
                      </w:rPr>
                      <m:t>i</m:t>
                    </m:r>
                  </m:e>
                </m:d>
                <m:r>
                  <w:rPr>
                    <w:rFonts w:ascii="Cambria Math" w:hAnsi="Cambria Math"/>
                    <w:sz w:val="21"/>
                    <w:szCs w:val="21"/>
                    <w:lang w:val="en-US"/>
                  </w:rPr>
                  <m:t>,i</m:t>
                </m:r>
              </m:sub>
              <m:sup>
                <m:r>
                  <w:rPr>
                    <w:rFonts w:ascii="Cambria Math" w:hAnsi="Cambria Math"/>
                    <w:sz w:val="21"/>
                    <w:szCs w:val="21"/>
                    <w:lang w:val="en-US"/>
                  </w:rPr>
                  <m:t>VB</m:t>
                </m:r>
              </m:sup>
            </m:sSubSup>
            <m:r>
              <w:rPr>
                <w:rFonts w:ascii="Cambria Math" w:hAnsi="Cambria Math"/>
                <w:sz w:val="21"/>
                <w:szCs w:val="21"/>
                <w:lang w:val="en-US"/>
              </w:rPr>
              <m:t>+</m:t>
            </m:r>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VN</m:t>
                </m:r>
              </m:sub>
            </m:sSub>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p</m:t>
                </m:r>
                <m:d>
                  <m:dPr>
                    <m:begChr m:val="["/>
                    <m:endChr m:val="]"/>
                    <m:ctrlPr>
                      <w:rPr>
                        <w:rFonts w:ascii="Cambria Math" w:hAnsi="Cambria Math"/>
                        <w:i/>
                        <w:sz w:val="21"/>
                        <w:szCs w:val="21"/>
                        <w:lang w:val="en-US"/>
                      </w:rPr>
                    </m:ctrlPr>
                  </m:dPr>
                  <m:e>
                    <m:r>
                      <w:rPr>
                        <w:rFonts w:ascii="Cambria Math" w:hAnsi="Cambria Math"/>
                        <w:sz w:val="21"/>
                        <w:szCs w:val="21"/>
                        <w:lang w:val="en-US"/>
                      </w:rPr>
                      <m:t>i</m:t>
                    </m:r>
                  </m:e>
                </m:d>
                <m:r>
                  <w:rPr>
                    <w:rFonts w:ascii="Cambria Math" w:hAnsi="Cambria Math"/>
                    <w:sz w:val="21"/>
                    <w:szCs w:val="21"/>
                    <w:lang w:val="en-US"/>
                  </w:rPr>
                  <m:t>,i</m:t>
                </m:r>
              </m:sub>
              <m:sup>
                <m:r>
                  <w:rPr>
                    <w:rFonts w:ascii="Cambria Math" w:hAnsi="Cambria Math"/>
                    <w:sz w:val="21"/>
                    <w:szCs w:val="21"/>
                    <w:lang w:val="en-US"/>
                  </w:rPr>
                  <m:t>VN</m:t>
                </m:r>
              </m:sup>
            </m:sSubSup>
            <m:r>
              <w:rPr>
                <w:rFonts w:ascii="Cambria Math" w:hAnsi="Cambria Math"/>
                <w:sz w:val="21"/>
                <w:szCs w:val="21"/>
                <w:lang w:val="en-US"/>
              </w:rPr>
              <m:t>)</m:t>
            </m:r>
          </m:e>
        </m:nary>
      </m:oMath>
      <w:r w:rsidR="009357A9" w:rsidRPr="00931790">
        <w:rPr>
          <w:sz w:val="21"/>
          <w:szCs w:val="21"/>
          <w:lang w:val="en-US"/>
        </w:rPr>
        <w:t xml:space="preserve"> </w:t>
      </w:r>
      <w:r w:rsidR="009357A9" w:rsidRPr="00931790">
        <w:rPr>
          <w:sz w:val="21"/>
          <w:szCs w:val="21"/>
          <w:lang w:val="en-US"/>
        </w:rPr>
        <w:tab/>
        <w:t xml:space="preserve">    eq</w:t>
      </w:r>
      <w:r w:rsidR="00132058">
        <w:rPr>
          <w:sz w:val="21"/>
          <w:szCs w:val="21"/>
          <w:lang w:val="en-US"/>
        </w:rPr>
        <w:t>.6</w:t>
      </w:r>
    </w:p>
    <w:p w:rsidR="009357A9" w:rsidRPr="00931790" w:rsidRDefault="009357A9" w:rsidP="009357A9">
      <w:pPr>
        <w:jc w:val="both"/>
        <w:rPr>
          <w:sz w:val="21"/>
          <w:szCs w:val="21"/>
          <w:lang w:val="en-US"/>
        </w:rPr>
      </w:pPr>
      <w:r w:rsidRPr="00931790">
        <w:rPr>
          <w:sz w:val="21"/>
          <w:szCs w:val="21"/>
          <w:lang w:val="en-US"/>
        </w:rPr>
        <w:t xml:space="preserve"> </w:t>
      </w:r>
    </w:p>
    <w:p w:rsidR="00132058" w:rsidRPr="00931790" w:rsidRDefault="009357A9" w:rsidP="009357A9">
      <w:pPr>
        <w:jc w:val="both"/>
        <w:rPr>
          <w:sz w:val="21"/>
          <w:szCs w:val="21"/>
          <w:lang w:val="en-US"/>
        </w:rPr>
      </w:pPr>
      <w:r w:rsidRPr="00931790">
        <w:rPr>
          <w:sz w:val="21"/>
          <w:szCs w:val="21"/>
          <w:lang w:val="en-US"/>
        </w:rPr>
        <w:t>To test our approach, we scored our training sequences using leave-one-out cross validation, where one sequence was omitted from the training set used to generate each scoring matrix. The omitted sequence was then scored on the PSSMs generated, with this process repeated for every peptide used. Scoring was evaluated via a</w:t>
      </w:r>
      <w:r w:rsidR="001E7BFB">
        <w:rPr>
          <w:sz w:val="21"/>
          <w:szCs w:val="21"/>
          <w:lang w:val="en-US"/>
        </w:rPr>
        <w:t>n</w:t>
      </w:r>
      <w:r w:rsidRPr="00931790">
        <w:rPr>
          <w:sz w:val="21"/>
          <w:szCs w:val="21"/>
          <w:lang w:val="en-US"/>
        </w:rPr>
        <w:t xml:space="preserve"> ROC curve. The area under the ROC curve (AUROC) corresponds with the score’s ability to separate true positives – sequences which do bind LC8 and which also score as binders – from false positives – sequences that do not bind, but still return a positive score. The larger the AUROC, the greater the ability of the score to differentiate binding from non-binding sequences</w:t>
      </w:r>
      <w:r w:rsidR="001048ED">
        <w:rPr>
          <w:sz w:val="21"/>
          <w:szCs w:val="21"/>
          <w:lang w:val="en-US"/>
        </w:rPr>
        <w:t xml:space="preserve"> (Supplemental Figure 1)</w:t>
      </w:r>
      <w:r w:rsidRPr="00931790">
        <w:rPr>
          <w:sz w:val="21"/>
          <w:szCs w:val="21"/>
          <w:lang w:val="en-US"/>
        </w:rPr>
        <w:t xml:space="preserve">. Using the AUROC as a metric for PSSM effectiveness, we did a grid search of possible weight factor values for equations </w:t>
      </w:r>
      <w:r w:rsidR="00132058">
        <w:rPr>
          <w:sz w:val="21"/>
          <w:szCs w:val="21"/>
          <w:lang w:val="en-US"/>
        </w:rPr>
        <w:t>5</w:t>
      </w:r>
      <w:r w:rsidRPr="00931790">
        <w:rPr>
          <w:sz w:val="21"/>
          <w:szCs w:val="21"/>
          <w:lang w:val="en-US"/>
        </w:rPr>
        <w:t xml:space="preserve"> and </w:t>
      </w:r>
      <w:r w:rsidR="00132058">
        <w:rPr>
          <w:sz w:val="21"/>
          <w:szCs w:val="21"/>
          <w:lang w:val="en-US"/>
        </w:rPr>
        <w:t>6</w:t>
      </w:r>
      <w:r w:rsidRPr="00931790">
        <w:rPr>
          <w:sz w:val="21"/>
          <w:szCs w:val="21"/>
          <w:lang w:val="en-US"/>
        </w:rPr>
        <w:t xml:space="preserve">. </w:t>
      </w:r>
      <w:r w:rsidR="00132058">
        <w:rPr>
          <w:sz w:val="21"/>
          <w:szCs w:val="21"/>
          <w:lang w:val="en-US"/>
        </w:rPr>
        <w:t xml:space="preserve">The arrived at </w:t>
      </w:r>
      <m:oMath>
        <m:r>
          <w:rPr>
            <w:rFonts w:ascii="Cambria Math" w:hAnsi="Cambria Math"/>
            <w:sz w:val="21"/>
            <w:szCs w:val="21"/>
            <w:lang w:val="en-US"/>
          </w:rPr>
          <m:t xml:space="preserve">α </m:t>
        </m:r>
      </m:oMath>
      <w:r w:rsidR="00132058">
        <w:rPr>
          <w:sz w:val="21"/>
          <w:szCs w:val="21"/>
          <w:lang w:val="en-US"/>
        </w:rPr>
        <w:t xml:space="preserve">values are as follows: </w:t>
      </w:r>
      <m:oMath>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 xml:space="preserve">B </m:t>
            </m:r>
          </m:sub>
        </m:sSub>
      </m:oMath>
      <w:r w:rsidR="00132058">
        <w:rPr>
          <w:sz w:val="21"/>
          <w:szCs w:val="21"/>
          <w:lang w:val="en-US"/>
        </w:rPr>
        <w:t xml:space="preserve">= 1, </w:t>
      </w:r>
      <m:oMath>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N</m:t>
            </m:r>
          </m:sub>
        </m:sSub>
        <m:r>
          <w:rPr>
            <w:rFonts w:ascii="Cambria Math" w:hAnsi="Cambria Math"/>
            <w:sz w:val="21"/>
            <w:szCs w:val="21"/>
            <w:lang w:val="en-US"/>
          </w:rPr>
          <m:t>=0.78</m:t>
        </m:r>
      </m:oMath>
      <w:r w:rsidR="00132058">
        <w:rPr>
          <w:sz w:val="21"/>
          <w:szCs w:val="21"/>
          <w:lang w:val="en-US"/>
        </w:rPr>
        <w:t xml:space="preserve">, </w:t>
      </w:r>
      <m:oMath>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PB</m:t>
            </m:r>
          </m:sub>
        </m:sSub>
        <m:r>
          <w:rPr>
            <w:rFonts w:ascii="Cambria Math" w:hAnsi="Cambria Math"/>
            <w:sz w:val="21"/>
            <w:szCs w:val="21"/>
            <w:lang w:val="en-US"/>
          </w:rPr>
          <m:t xml:space="preserve">=0, </m:t>
        </m:r>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PN</m:t>
            </m:r>
          </m:sub>
        </m:sSub>
        <m:r>
          <w:rPr>
            <w:rFonts w:ascii="Cambria Math" w:hAnsi="Cambria Math"/>
            <w:sz w:val="21"/>
            <w:szCs w:val="21"/>
            <w:lang w:val="en-US"/>
          </w:rPr>
          <m:t>=0.6</m:t>
        </m:r>
      </m:oMath>
      <w:r w:rsidR="00132058">
        <w:rPr>
          <w:sz w:val="21"/>
          <w:szCs w:val="21"/>
          <w:lang w:val="en-US"/>
        </w:rPr>
        <w:t xml:space="preserve">, </w:t>
      </w:r>
      <m:oMath>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VB</m:t>
            </m:r>
          </m:sub>
        </m:sSub>
      </m:oMath>
      <w:r w:rsidR="00132058">
        <w:rPr>
          <w:sz w:val="21"/>
          <w:szCs w:val="21"/>
          <w:lang w:val="en-US"/>
        </w:rPr>
        <w:t xml:space="preserve"> = 0.37, </w:t>
      </w:r>
      <m:oMath>
        <m:sSub>
          <m:sSubPr>
            <m:ctrlPr>
              <w:rPr>
                <w:rFonts w:ascii="Cambria Math" w:hAnsi="Cambria Math"/>
                <w:i/>
                <w:sz w:val="21"/>
                <w:szCs w:val="21"/>
                <w:lang w:val="en-US"/>
              </w:rPr>
            </m:ctrlPr>
          </m:sSubPr>
          <m:e>
            <m:r>
              <w:rPr>
                <w:rFonts w:ascii="Cambria Math" w:hAnsi="Cambria Math"/>
                <w:sz w:val="21"/>
                <w:szCs w:val="21"/>
                <w:lang w:val="en-US"/>
              </w:rPr>
              <m:t>α</m:t>
            </m:r>
          </m:e>
          <m:sub>
            <m:r>
              <w:rPr>
                <w:rFonts w:ascii="Cambria Math" w:hAnsi="Cambria Math"/>
                <w:sz w:val="21"/>
                <w:szCs w:val="21"/>
                <w:lang w:val="en-US"/>
              </w:rPr>
              <m:t>VN</m:t>
            </m:r>
          </m:sub>
        </m:sSub>
      </m:oMath>
      <w:r w:rsidR="00132058">
        <w:rPr>
          <w:sz w:val="21"/>
          <w:szCs w:val="21"/>
          <w:lang w:val="en-US"/>
        </w:rPr>
        <w:t xml:space="preserve"> = 0.22. Notably, the settled on </w:t>
      </w:r>
      <m:oMath>
        <m:r>
          <w:rPr>
            <w:rFonts w:ascii="Cambria Math" w:hAnsi="Cambria Math"/>
            <w:sz w:val="21"/>
            <w:szCs w:val="21"/>
            <w:lang w:val="en-US"/>
          </w:rPr>
          <m:t xml:space="preserve">α </m:t>
        </m:r>
      </m:oMath>
      <w:r w:rsidR="00132058">
        <w:rPr>
          <w:sz w:val="21"/>
          <w:szCs w:val="21"/>
          <w:lang w:val="en-US"/>
        </w:rPr>
        <w:t xml:space="preserve">for the polarity matrix that used only binding sequences was optimized to 0, indicating that the binder-only polarity matrix did not improve the ability of </w:t>
      </w:r>
      <m:oMath>
        <m:sSub>
          <m:sSubPr>
            <m:ctrlPr>
              <w:rPr>
                <w:rFonts w:ascii="Cambria Math" w:hAnsi="Cambria Math"/>
                <w:i/>
                <w:sz w:val="21"/>
                <w:szCs w:val="21"/>
                <w:lang w:val="en-US"/>
              </w:rPr>
            </m:ctrlPr>
          </m:sSubPr>
          <m:e>
            <m:r>
              <w:rPr>
                <w:rFonts w:ascii="Cambria Math" w:hAnsi="Cambria Math"/>
                <w:sz w:val="21"/>
                <w:szCs w:val="21"/>
                <w:lang w:val="en-US"/>
              </w:rPr>
              <m:t>S</m:t>
            </m:r>
          </m:e>
          <m:sub>
            <m:r>
              <w:rPr>
                <w:rFonts w:ascii="Cambria Math" w:hAnsi="Cambria Math"/>
                <w:sz w:val="21"/>
                <w:szCs w:val="21"/>
                <w:lang w:val="en-US"/>
              </w:rPr>
              <m:t>VP</m:t>
            </m:r>
          </m:sub>
        </m:sSub>
      </m:oMath>
      <w:r w:rsidR="00132058">
        <w:rPr>
          <w:sz w:val="21"/>
          <w:szCs w:val="21"/>
          <w:lang w:val="en-US"/>
        </w:rPr>
        <w:t xml:space="preserve"> to separate binding and non-binding sequences. </w:t>
      </w:r>
    </w:p>
    <w:p w:rsidR="009357A9" w:rsidRPr="00931790" w:rsidRDefault="009357A9" w:rsidP="009357A9">
      <w:pPr>
        <w:ind w:firstLine="720"/>
        <w:jc w:val="both"/>
        <w:rPr>
          <w:sz w:val="21"/>
          <w:szCs w:val="21"/>
          <w:lang w:val="en-US"/>
        </w:rPr>
      </w:pPr>
      <w:r w:rsidRPr="00931790">
        <w:rPr>
          <w:sz w:val="21"/>
          <w:szCs w:val="21"/>
          <w:lang w:val="en-US"/>
        </w:rPr>
        <w:t xml:space="preserve">Additionally, we used the AUROC to determine that the non-binder normalized scores </w:t>
      </w:r>
      <m:oMath>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ai</m:t>
            </m:r>
          </m:sub>
          <m:sup>
            <m:r>
              <w:rPr>
                <w:rFonts w:ascii="Cambria Math" w:hAnsi="Cambria Math"/>
                <w:sz w:val="21"/>
                <w:szCs w:val="21"/>
                <w:lang w:val="en-US"/>
              </w:rPr>
              <m:t>N</m:t>
            </m:r>
          </m:sup>
        </m:sSubSup>
        <m:r>
          <w:rPr>
            <w:rFonts w:ascii="Cambria Math" w:hAnsi="Cambria Math"/>
            <w:sz w:val="21"/>
            <w:szCs w:val="21"/>
            <w:lang w:val="en-US"/>
          </w:rPr>
          <m:t xml:space="preserve">,  </m:t>
        </m:r>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ai</m:t>
            </m:r>
          </m:sub>
          <m:sup>
            <m:r>
              <w:rPr>
                <w:rFonts w:ascii="Cambria Math" w:hAnsi="Cambria Math"/>
                <w:sz w:val="21"/>
                <w:szCs w:val="21"/>
                <w:lang w:val="en-US"/>
              </w:rPr>
              <m:t>PN</m:t>
            </m:r>
          </m:sup>
        </m:sSubSup>
        <m:r>
          <w:rPr>
            <w:rFonts w:ascii="Cambria Math" w:hAnsi="Cambria Math"/>
            <w:sz w:val="21"/>
            <w:szCs w:val="21"/>
            <w:lang w:val="en-US"/>
          </w:rPr>
          <m:t xml:space="preserve">,  </m:t>
        </m:r>
        <m:sSubSup>
          <m:sSubSupPr>
            <m:ctrlPr>
              <w:rPr>
                <w:rFonts w:ascii="Cambria Math" w:hAnsi="Cambria Math"/>
                <w:i/>
                <w:sz w:val="21"/>
                <w:szCs w:val="21"/>
                <w:lang w:val="en-US"/>
              </w:rPr>
            </m:ctrlPr>
          </m:sSubSupPr>
          <m:e>
            <m:r>
              <w:rPr>
                <w:rFonts w:ascii="Cambria Math" w:hAnsi="Cambria Math"/>
                <w:sz w:val="21"/>
                <w:szCs w:val="21"/>
                <w:lang w:val="en-US"/>
              </w:rPr>
              <m:t>W</m:t>
            </m:r>
          </m:e>
          <m:sub>
            <m:r>
              <w:rPr>
                <w:rFonts w:ascii="Cambria Math" w:hAnsi="Cambria Math"/>
                <w:sz w:val="21"/>
                <w:szCs w:val="21"/>
                <w:lang w:val="en-US"/>
              </w:rPr>
              <m:t>ai</m:t>
            </m:r>
          </m:sub>
          <m:sup>
            <m:r>
              <w:rPr>
                <w:rFonts w:ascii="Cambria Math" w:hAnsi="Cambria Math"/>
                <w:sz w:val="21"/>
                <w:szCs w:val="21"/>
                <w:lang w:val="en-US"/>
              </w:rPr>
              <m:t>VN</m:t>
            </m:r>
          </m:sup>
        </m:sSubSup>
      </m:oMath>
      <w:r w:rsidRPr="00931790">
        <w:rPr>
          <w:sz w:val="21"/>
          <w:szCs w:val="21"/>
          <w:lang w:val="en-US"/>
        </w:rPr>
        <w:t xml:space="preserve"> had a negative impact on the effectiveness of our scoring when included at the -1, 0 and +1 position in the matrices. As the non-binding sequences were selected for the presence of a TQT anchor, there is effectively no relative enrichment for any amino acid or physiochemical property at those positions in the associated PSSMs, and we therefore excluded those scores at the positions in question. </w:t>
      </w:r>
    </w:p>
    <w:p w:rsidR="009357A9" w:rsidRPr="00931790" w:rsidRDefault="009357A9" w:rsidP="009357A9">
      <w:pPr>
        <w:jc w:val="both"/>
        <w:rPr>
          <w:color w:val="000000" w:themeColor="text1"/>
          <w:sz w:val="21"/>
          <w:szCs w:val="21"/>
          <w:lang w:val="en-US"/>
        </w:rPr>
      </w:pPr>
    </w:p>
    <w:p w:rsidR="00792723" w:rsidRDefault="00792723"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635911" w:rsidRDefault="00635911" w:rsidP="009357A9">
      <w:pPr>
        <w:jc w:val="both"/>
        <w:rPr>
          <w:color w:val="000000" w:themeColor="text1"/>
          <w:sz w:val="21"/>
          <w:szCs w:val="21"/>
          <w:lang w:val="en-US"/>
        </w:rPr>
      </w:pPr>
    </w:p>
    <w:p w:rsidR="00531B3D" w:rsidRPr="00531B3D" w:rsidRDefault="00531B3D" w:rsidP="009357A9">
      <w:pPr>
        <w:jc w:val="both"/>
        <w:rPr>
          <w:b/>
          <w:color w:val="000000" w:themeColor="text1"/>
          <w:sz w:val="21"/>
          <w:szCs w:val="21"/>
          <w:lang w:val="en-US"/>
        </w:rPr>
      </w:pPr>
      <w:r w:rsidRPr="00531B3D">
        <w:rPr>
          <w:b/>
          <w:color w:val="000000" w:themeColor="text1"/>
          <w:sz w:val="21"/>
          <w:szCs w:val="21"/>
          <w:lang w:val="en-US"/>
        </w:rPr>
        <w:t>Citations</w:t>
      </w:r>
    </w:p>
    <w:p w:rsidR="00531B3D" w:rsidRPr="00531B3D" w:rsidRDefault="00531B3D" w:rsidP="009357A9">
      <w:pPr>
        <w:jc w:val="both"/>
        <w:rPr>
          <w:color w:val="000000" w:themeColor="text1"/>
          <w:sz w:val="21"/>
          <w:szCs w:val="21"/>
          <w:lang w:val="en-US"/>
        </w:rPr>
      </w:pPr>
    </w:p>
    <w:p w:rsidR="00AF57D6" w:rsidRPr="00AF57D6" w:rsidRDefault="00531B3D" w:rsidP="00AF57D6">
      <w:pPr>
        <w:widowControl w:val="0"/>
        <w:autoSpaceDE w:val="0"/>
        <w:autoSpaceDN w:val="0"/>
        <w:adjustRightInd w:val="0"/>
        <w:ind w:left="480" w:hanging="480"/>
        <w:rPr>
          <w:noProof/>
          <w:sz w:val="20"/>
        </w:rPr>
      </w:pPr>
      <w:r w:rsidRPr="00531B3D">
        <w:rPr>
          <w:color w:val="000000" w:themeColor="text1"/>
          <w:sz w:val="21"/>
          <w:szCs w:val="21"/>
          <w:lang w:val="en-US"/>
        </w:rPr>
        <w:fldChar w:fldCharType="begin" w:fldLock="1"/>
      </w:r>
      <w:r w:rsidRPr="00531B3D">
        <w:rPr>
          <w:color w:val="000000" w:themeColor="text1"/>
          <w:sz w:val="21"/>
          <w:szCs w:val="21"/>
          <w:lang w:val="en-US"/>
        </w:rPr>
        <w:instrText xml:space="preserve">ADDIN Mendeley Bibliography CSL_BIBLIOGRAPHY </w:instrText>
      </w:r>
      <w:r w:rsidRPr="00531B3D">
        <w:rPr>
          <w:color w:val="000000" w:themeColor="text1"/>
          <w:sz w:val="21"/>
          <w:szCs w:val="21"/>
          <w:lang w:val="en-US"/>
        </w:rPr>
        <w:fldChar w:fldCharType="separate"/>
      </w:r>
      <w:r w:rsidR="00AF57D6" w:rsidRPr="00AF57D6">
        <w:rPr>
          <w:noProof/>
          <w:sz w:val="20"/>
        </w:rPr>
        <w:t xml:space="preserve">Erdős, G., Szaniszló, T., Pajkos, M., Hajdu-Soltész, B., Kiss, B., Pál, G., … Dosztányi, Z. (2017). Novel linear motif filtering protocol reveals the role of the LC8 dynein light chain in the Hippo pathway. </w:t>
      </w:r>
      <w:r w:rsidR="00AF57D6" w:rsidRPr="00AF57D6">
        <w:rPr>
          <w:i/>
          <w:iCs/>
          <w:noProof/>
          <w:sz w:val="20"/>
        </w:rPr>
        <w:t>PLoS Computational Biology</w:t>
      </w:r>
      <w:r w:rsidR="00AF57D6" w:rsidRPr="00AF57D6">
        <w:rPr>
          <w:noProof/>
          <w:sz w:val="20"/>
        </w:rPr>
        <w:t xml:space="preserve">, </w:t>
      </w:r>
      <w:r w:rsidR="00AF57D6" w:rsidRPr="00AF57D6">
        <w:rPr>
          <w:i/>
          <w:iCs/>
          <w:noProof/>
          <w:sz w:val="20"/>
        </w:rPr>
        <w:t>13</w:t>
      </w:r>
      <w:r w:rsidR="00AF57D6" w:rsidRPr="00AF57D6">
        <w:rPr>
          <w:noProof/>
          <w:sz w:val="20"/>
        </w:rPr>
        <w:t>(12), e1005885. https://doi.org/10.1371/journal.pcbi.1005885</w:t>
      </w:r>
    </w:p>
    <w:p w:rsidR="00AF57D6" w:rsidRPr="00AF57D6" w:rsidRDefault="00AF57D6" w:rsidP="00AF57D6">
      <w:pPr>
        <w:widowControl w:val="0"/>
        <w:autoSpaceDE w:val="0"/>
        <w:autoSpaceDN w:val="0"/>
        <w:adjustRightInd w:val="0"/>
        <w:ind w:left="480" w:hanging="480"/>
        <w:rPr>
          <w:noProof/>
          <w:sz w:val="20"/>
        </w:rPr>
      </w:pPr>
      <w:r w:rsidRPr="00AF57D6">
        <w:rPr>
          <w:noProof/>
          <w:sz w:val="20"/>
        </w:rPr>
        <w:t xml:space="preserve">Piovesan, D., Tabaro, F., Mičetić, I., Necci, M., Quaglia, F., Oldfield, C. J., … Tosatto, S. C. E. (2017). DisProt 7.0: a major update of the database of disordered proteins. </w:t>
      </w:r>
      <w:r w:rsidRPr="00AF57D6">
        <w:rPr>
          <w:i/>
          <w:iCs/>
          <w:noProof/>
          <w:sz w:val="20"/>
        </w:rPr>
        <w:t>Nucleic Acids Research</w:t>
      </w:r>
      <w:r w:rsidRPr="00AF57D6">
        <w:rPr>
          <w:noProof/>
          <w:sz w:val="20"/>
        </w:rPr>
        <w:t xml:space="preserve">, </w:t>
      </w:r>
      <w:r w:rsidRPr="00AF57D6">
        <w:rPr>
          <w:i/>
          <w:iCs/>
          <w:noProof/>
          <w:sz w:val="20"/>
        </w:rPr>
        <w:t>45</w:t>
      </w:r>
      <w:r w:rsidRPr="00AF57D6">
        <w:rPr>
          <w:noProof/>
          <w:sz w:val="20"/>
        </w:rPr>
        <w:t>(D1), D219–D227. https://doi.org/10.1093/nar/gkw1056</w:t>
      </w:r>
    </w:p>
    <w:p w:rsidR="00AF57D6" w:rsidRPr="00AF57D6" w:rsidRDefault="00AF57D6" w:rsidP="00AF57D6">
      <w:pPr>
        <w:widowControl w:val="0"/>
        <w:autoSpaceDE w:val="0"/>
        <w:autoSpaceDN w:val="0"/>
        <w:adjustRightInd w:val="0"/>
        <w:ind w:left="480" w:hanging="480"/>
        <w:rPr>
          <w:noProof/>
          <w:sz w:val="20"/>
        </w:rPr>
      </w:pPr>
      <w:r w:rsidRPr="00AF57D6">
        <w:rPr>
          <w:noProof/>
          <w:sz w:val="20"/>
        </w:rPr>
        <w:t xml:space="preserve">Richards, F. M. (1977). Areas, Volumes, Packing, and Protein Structure. </w:t>
      </w:r>
      <w:r w:rsidRPr="00AF57D6">
        <w:rPr>
          <w:i/>
          <w:iCs/>
          <w:noProof/>
          <w:sz w:val="20"/>
        </w:rPr>
        <w:t>Annual Review of Biophysics and Bioengineering</w:t>
      </w:r>
      <w:r w:rsidRPr="00AF57D6">
        <w:rPr>
          <w:noProof/>
          <w:sz w:val="20"/>
        </w:rPr>
        <w:t xml:space="preserve">, </w:t>
      </w:r>
      <w:r w:rsidRPr="00AF57D6">
        <w:rPr>
          <w:i/>
          <w:iCs/>
          <w:noProof/>
          <w:sz w:val="20"/>
        </w:rPr>
        <w:t>6</w:t>
      </w:r>
      <w:r w:rsidRPr="00AF57D6">
        <w:rPr>
          <w:noProof/>
          <w:sz w:val="20"/>
        </w:rPr>
        <w:t>(1), 151–176. https://doi.org/10.1146/annurev.bb.06.060177.001055</w:t>
      </w:r>
    </w:p>
    <w:p w:rsidR="00531B3D" w:rsidRDefault="00531B3D" w:rsidP="009357A9">
      <w:pPr>
        <w:jc w:val="both"/>
        <w:rPr>
          <w:color w:val="000000" w:themeColor="text1"/>
          <w:sz w:val="21"/>
          <w:szCs w:val="21"/>
          <w:lang w:val="en-US"/>
        </w:rPr>
      </w:pPr>
      <w:r w:rsidRPr="00531B3D">
        <w:rPr>
          <w:color w:val="000000" w:themeColor="text1"/>
          <w:sz w:val="21"/>
          <w:szCs w:val="21"/>
          <w:lang w:val="en-US"/>
        </w:rPr>
        <w:fldChar w:fldCharType="end"/>
      </w: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531B3D" w:rsidRDefault="00531B3D" w:rsidP="009357A9">
      <w:pPr>
        <w:jc w:val="both"/>
        <w:rPr>
          <w:color w:val="000000" w:themeColor="text1"/>
          <w:sz w:val="21"/>
          <w:szCs w:val="21"/>
          <w:lang w:val="en-US"/>
        </w:rPr>
      </w:pPr>
    </w:p>
    <w:p w:rsidR="00673D0B" w:rsidRPr="00931790" w:rsidRDefault="00673D0B" w:rsidP="009357A9">
      <w:pPr>
        <w:jc w:val="both"/>
        <w:rPr>
          <w:color w:val="000000" w:themeColor="text1"/>
          <w:sz w:val="21"/>
          <w:szCs w:val="21"/>
          <w:lang w:val="en-US"/>
        </w:rPr>
      </w:pPr>
    </w:p>
    <w:p w:rsidR="00CE6D1C" w:rsidRPr="00F95957" w:rsidRDefault="00CE6D1C" w:rsidP="00F95957">
      <w:pPr>
        <w:rPr>
          <w:sz w:val="21"/>
          <w:szCs w:val="21"/>
        </w:rPr>
      </w:pPr>
      <w:r w:rsidRPr="00F95957">
        <w:rPr>
          <w:b/>
          <w:sz w:val="21"/>
          <w:szCs w:val="21"/>
        </w:rPr>
        <w:lastRenderedPageBreak/>
        <w:t>Supplemental Figure 1</w:t>
      </w:r>
      <w:r w:rsidR="00904F51">
        <w:rPr>
          <w:b/>
          <w:sz w:val="21"/>
          <w:szCs w:val="21"/>
        </w:rPr>
        <w:t xml:space="preserve"> – Optimization of matrix weights.</w:t>
      </w:r>
      <w:r w:rsidRPr="00F95957">
        <w:rPr>
          <w:b/>
          <w:sz w:val="21"/>
          <w:szCs w:val="21"/>
        </w:rPr>
        <w:t xml:space="preserve"> </w:t>
      </w:r>
      <w:r w:rsidR="00F95957" w:rsidRPr="00904F51">
        <w:rPr>
          <w:b/>
          <w:sz w:val="21"/>
          <w:szCs w:val="21"/>
        </w:rPr>
        <w:t>(A)</w:t>
      </w:r>
      <w:r w:rsidR="00F95957" w:rsidRPr="00F95957">
        <w:rPr>
          <w:sz w:val="21"/>
          <w:szCs w:val="21"/>
        </w:rPr>
        <w:t xml:space="preserve"> ROC curves of both amino acid matrices and </w:t>
      </w:r>
      <w:proofErr w:type="spellStart"/>
      <w:r w:rsidR="00F95957" w:rsidRPr="00F95957">
        <w:rPr>
          <w:sz w:val="21"/>
          <w:szCs w:val="21"/>
        </w:rPr>
        <w:t>S</w:t>
      </w:r>
      <w:r w:rsidR="00F95957" w:rsidRPr="00F95957">
        <w:rPr>
          <w:sz w:val="21"/>
          <w:szCs w:val="21"/>
          <w:vertAlign w:val="subscript"/>
        </w:rPr>
        <w:t>aa</w:t>
      </w:r>
      <w:proofErr w:type="spellEnd"/>
      <w:r w:rsidR="00F95957" w:rsidRPr="00F95957">
        <w:rPr>
          <w:sz w:val="21"/>
          <w:szCs w:val="21"/>
        </w:rPr>
        <w:t>. The larger the area under the curve (AUROC), the more effective the curve is at separating binder seque</w:t>
      </w:r>
      <w:r w:rsidR="00F95957">
        <w:rPr>
          <w:sz w:val="21"/>
          <w:szCs w:val="21"/>
        </w:rPr>
        <w:t xml:space="preserve">nces from non-binder sequences. </w:t>
      </w:r>
      <w:r w:rsidR="00F95957" w:rsidRPr="00904F51">
        <w:rPr>
          <w:b/>
          <w:sz w:val="21"/>
          <w:szCs w:val="21"/>
        </w:rPr>
        <w:t>(B)</w:t>
      </w:r>
      <w:r w:rsidR="00F95957">
        <w:rPr>
          <w:sz w:val="21"/>
          <w:szCs w:val="21"/>
        </w:rPr>
        <w:t xml:space="preserve"> </w:t>
      </w:r>
      <w:r w:rsidRPr="00F95957">
        <w:rPr>
          <w:sz w:val="21"/>
          <w:szCs w:val="21"/>
        </w:rPr>
        <w:t xml:space="preserve">ROC curves of each volume and polarity matrix, and </w:t>
      </w:r>
      <w:proofErr w:type="spellStart"/>
      <w:r w:rsidRPr="00F95957">
        <w:rPr>
          <w:sz w:val="21"/>
          <w:szCs w:val="21"/>
        </w:rPr>
        <w:t>S</w:t>
      </w:r>
      <w:r w:rsidRPr="00F95957">
        <w:rPr>
          <w:sz w:val="21"/>
          <w:szCs w:val="21"/>
          <w:vertAlign w:val="subscript"/>
        </w:rPr>
        <w:t>vp</w:t>
      </w:r>
      <w:proofErr w:type="spellEnd"/>
      <w:r w:rsidRPr="00F95957">
        <w:rPr>
          <w:sz w:val="21"/>
          <w:szCs w:val="21"/>
        </w:rPr>
        <w:t xml:space="preserve">. Notably, the </w:t>
      </w:r>
      <w:proofErr w:type="spellStart"/>
      <w:r w:rsidRPr="00F95957">
        <w:rPr>
          <w:sz w:val="21"/>
          <w:szCs w:val="21"/>
        </w:rPr>
        <w:t>S</w:t>
      </w:r>
      <w:r w:rsidRPr="00F95957">
        <w:rPr>
          <w:sz w:val="21"/>
          <w:szCs w:val="21"/>
          <w:vertAlign w:val="subscript"/>
        </w:rPr>
        <w:t>vp</w:t>
      </w:r>
      <w:proofErr w:type="spellEnd"/>
      <w:r w:rsidR="00904F51">
        <w:rPr>
          <w:sz w:val="21"/>
          <w:szCs w:val="21"/>
        </w:rPr>
        <w:t xml:space="preserve"> c</w:t>
      </w:r>
      <w:r w:rsidRPr="00F95957">
        <w:rPr>
          <w:sz w:val="21"/>
          <w:szCs w:val="21"/>
        </w:rPr>
        <w:t>urve performed substantially better than each volume and polarity matrix indivi</w:t>
      </w:r>
      <w:r w:rsidR="00F95957" w:rsidRPr="00F95957">
        <w:rPr>
          <w:sz w:val="21"/>
          <w:szCs w:val="21"/>
        </w:rPr>
        <w:t>dually, which suggests that</w:t>
      </w:r>
      <w:r w:rsidRPr="00F95957">
        <w:rPr>
          <w:sz w:val="21"/>
          <w:szCs w:val="21"/>
        </w:rPr>
        <w:t xml:space="preserve"> volume and polarity are both essential to understanding the preferences within the LC8 motif.</w:t>
      </w:r>
    </w:p>
    <w:p w:rsidR="009357A9" w:rsidRPr="00931790" w:rsidRDefault="009357A9" w:rsidP="009357A9">
      <w:pPr>
        <w:jc w:val="both"/>
        <w:rPr>
          <w:color w:val="000000" w:themeColor="text1"/>
          <w:sz w:val="21"/>
          <w:szCs w:val="21"/>
          <w:lang w:val="en-US"/>
        </w:rPr>
      </w:pPr>
    </w:p>
    <w:p w:rsidR="009357A9" w:rsidRDefault="009357A9" w:rsidP="009357A9">
      <w:pPr>
        <w:jc w:val="both"/>
        <w:rPr>
          <w:color w:val="000000" w:themeColor="text1"/>
          <w:sz w:val="21"/>
          <w:szCs w:val="21"/>
          <w:lang w:val="en-US"/>
        </w:rPr>
      </w:pPr>
    </w:p>
    <w:p w:rsidR="001E7BFB" w:rsidRDefault="006C2BA8" w:rsidP="009357A9">
      <w:pPr>
        <w:jc w:val="both"/>
        <w:rPr>
          <w:color w:val="000000" w:themeColor="text1"/>
          <w:sz w:val="21"/>
          <w:szCs w:val="21"/>
          <w:lang w:val="en-US"/>
        </w:rPr>
      </w:pPr>
      <w:r>
        <w:rPr>
          <w:noProof/>
          <w:lang w:val="en-US" w:eastAsia="en-US"/>
        </w:rPr>
        <w:drawing>
          <wp:inline distT="0" distB="0" distL="0" distR="0" wp14:anchorId="6C0886AE" wp14:editId="5B7DDFBD">
            <wp:extent cx="5943600" cy="3335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335655"/>
                    </a:xfrm>
                    <a:prstGeom prst="rect">
                      <a:avLst/>
                    </a:prstGeom>
                  </pic:spPr>
                </pic:pic>
              </a:graphicData>
            </a:graphic>
          </wp:inline>
        </w:drawing>
      </w: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bookmarkStart w:id="1" w:name="_GoBack"/>
      <w:bookmarkEnd w:id="1"/>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1E7BFB" w:rsidRDefault="001E7BFB" w:rsidP="009357A9">
      <w:pPr>
        <w:jc w:val="both"/>
        <w:rPr>
          <w:color w:val="000000" w:themeColor="text1"/>
          <w:sz w:val="21"/>
          <w:szCs w:val="21"/>
          <w:lang w:val="en-US"/>
        </w:rPr>
      </w:pPr>
    </w:p>
    <w:p w:rsidR="00673D0B" w:rsidRDefault="00673D0B" w:rsidP="009357A9">
      <w:pPr>
        <w:jc w:val="both"/>
        <w:rPr>
          <w:color w:val="000000" w:themeColor="text1"/>
          <w:sz w:val="21"/>
          <w:szCs w:val="21"/>
          <w:lang w:val="en-US"/>
        </w:rPr>
      </w:pPr>
    </w:p>
    <w:p w:rsidR="00673D0B" w:rsidRDefault="00673D0B" w:rsidP="009357A9">
      <w:pPr>
        <w:jc w:val="both"/>
        <w:rPr>
          <w:color w:val="000000" w:themeColor="text1"/>
          <w:sz w:val="21"/>
          <w:szCs w:val="21"/>
          <w:lang w:val="en-US"/>
        </w:rPr>
      </w:pPr>
    </w:p>
    <w:p w:rsidR="00673D0B" w:rsidRDefault="00673D0B" w:rsidP="009357A9">
      <w:pPr>
        <w:jc w:val="both"/>
        <w:rPr>
          <w:color w:val="000000" w:themeColor="text1"/>
          <w:sz w:val="21"/>
          <w:szCs w:val="21"/>
          <w:lang w:val="en-US"/>
        </w:rPr>
      </w:pPr>
    </w:p>
    <w:p w:rsidR="001E7BFB" w:rsidRPr="00931790" w:rsidRDefault="001E7BFB" w:rsidP="009357A9">
      <w:pPr>
        <w:jc w:val="both"/>
        <w:rPr>
          <w:color w:val="000000" w:themeColor="text1"/>
          <w:sz w:val="21"/>
          <w:szCs w:val="21"/>
          <w:lang w:val="en-US"/>
        </w:rPr>
      </w:pPr>
    </w:p>
    <w:sectPr w:rsidR="001E7BFB" w:rsidRPr="00931790" w:rsidSect="00F12F0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537"/>
    <w:multiLevelType w:val="hybridMultilevel"/>
    <w:tmpl w:val="856E50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A9"/>
    <w:rsid w:val="000902B7"/>
    <w:rsid w:val="000C6353"/>
    <w:rsid w:val="001048ED"/>
    <w:rsid w:val="00132058"/>
    <w:rsid w:val="001E7BFB"/>
    <w:rsid w:val="00230647"/>
    <w:rsid w:val="0024115C"/>
    <w:rsid w:val="002559CA"/>
    <w:rsid w:val="002708BC"/>
    <w:rsid w:val="003568EA"/>
    <w:rsid w:val="00506661"/>
    <w:rsid w:val="0052572F"/>
    <w:rsid w:val="00531B3D"/>
    <w:rsid w:val="005828C5"/>
    <w:rsid w:val="005F46BF"/>
    <w:rsid w:val="00635911"/>
    <w:rsid w:val="00673D0B"/>
    <w:rsid w:val="006C2AED"/>
    <w:rsid w:val="006C2BA8"/>
    <w:rsid w:val="007267FD"/>
    <w:rsid w:val="007312EC"/>
    <w:rsid w:val="00792723"/>
    <w:rsid w:val="008435E2"/>
    <w:rsid w:val="0085697F"/>
    <w:rsid w:val="008A7B01"/>
    <w:rsid w:val="00904F51"/>
    <w:rsid w:val="00931790"/>
    <w:rsid w:val="009357A9"/>
    <w:rsid w:val="00A766B5"/>
    <w:rsid w:val="00AE0028"/>
    <w:rsid w:val="00AF57D6"/>
    <w:rsid w:val="00B75DA3"/>
    <w:rsid w:val="00B979D3"/>
    <w:rsid w:val="00C876EF"/>
    <w:rsid w:val="00CC4221"/>
    <w:rsid w:val="00CE6D1C"/>
    <w:rsid w:val="00CF4052"/>
    <w:rsid w:val="00CF4148"/>
    <w:rsid w:val="00CF59A4"/>
    <w:rsid w:val="00D933F3"/>
    <w:rsid w:val="00DF4E97"/>
    <w:rsid w:val="00F12F09"/>
    <w:rsid w:val="00F3742A"/>
    <w:rsid w:val="00F95957"/>
    <w:rsid w:val="00FA2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A9"/>
    <w:pPr>
      <w:spacing w:after="0" w:line="240" w:lineRule="auto"/>
    </w:pPr>
    <w:rPr>
      <w:rFonts w:ascii="Times New Roman" w:eastAsiaTheme="minorEastAsia"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1C"/>
    <w:pPr>
      <w:ind w:left="720"/>
      <w:contextualSpacing/>
    </w:pPr>
    <w:rPr>
      <w:rFonts w:asciiTheme="minorHAnsi" w:hAnsiTheme="minorHAnsi" w:cstheme="minorBidi"/>
      <w:sz w:val="22"/>
      <w:szCs w:val="22"/>
      <w:lang w:val="en-US" w:eastAsia="ja-JP"/>
    </w:rPr>
  </w:style>
  <w:style w:type="character" w:styleId="LineNumber">
    <w:name w:val="line number"/>
    <w:basedOn w:val="DefaultParagraphFont"/>
    <w:uiPriority w:val="99"/>
    <w:semiHidden/>
    <w:unhideWhenUsed/>
    <w:rsid w:val="00F12F09"/>
  </w:style>
  <w:style w:type="paragraph" w:styleId="BalloonText">
    <w:name w:val="Balloon Text"/>
    <w:basedOn w:val="Normal"/>
    <w:link w:val="BalloonTextChar"/>
    <w:uiPriority w:val="99"/>
    <w:semiHidden/>
    <w:unhideWhenUsed/>
    <w:rsid w:val="00CF4052"/>
    <w:rPr>
      <w:rFonts w:ascii="Tahoma" w:hAnsi="Tahoma" w:cs="Tahoma"/>
      <w:sz w:val="16"/>
      <w:szCs w:val="16"/>
    </w:rPr>
  </w:style>
  <w:style w:type="character" w:customStyle="1" w:styleId="BalloonTextChar">
    <w:name w:val="Balloon Text Char"/>
    <w:basedOn w:val="DefaultParagraphFont"/>
    <w:link w:val="BalloonText"/>
    <w:uiPriority w:val="99"/>
    <w:semiHidden/>
    <w:rsid w:val="00CF4052"/>
    <w:rPr>
      <w:rFonts w:ascii="Tahoma" w:eastAsiaTheme="minorEastAsi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A9"/>
    <w:pPr>
      <w:spacing w:after="0" w:line="240" w:lineRule="auto"/>
    </w:pPr>
    <w:rPr>
      <w:rFonts w:ascii="Times New Roman" w:eastAsiaTheme="minorEastAsia"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1C"/>
    <w:pPr>
      <w:ind w:left="720"/>
      <w:contextualSpacing/>
    </w:pPr>
    <w:rPr>
      <w:rFonts w:asciiTheme="minorHAnsi" w:hAnsiTheme="minorHAnsi" w:cstheme="minorBidi"/>
      <w:sz w:val="22"/>
      <w:szCs w:val="22"/>
      <w:lang w:val="en-US" w:eastAsia="ja-JP"/>
    </w:rPr>
  </w:style>
  <w:style w:type="character" w:styleId="LineNumber">
    <w:name w:val="line number"/>
    <w:basedOn w:val="DefaultParagraphFont"/>
    <w:uiPriority w:val="99"/>
    <w:semiHidden/>
    <w:unhideWhenUsed/>
    <w:rsid w:val="00F12F09"/>
  </w:style>
  <w:style w:type="paragraph" w:styleId="BalloonText">
    <w:name w:val="Balloon Text"/>
    <w:basedOn w:val="Normal"/>
    <w:link w:val="BalloonTextChar"/>
    <w:uiPriority w:val="99"/>
    <w:semiHidden/>
    <w:unhideWhenUsed/>
    <w:rsid w:val="00CF4052"/>
    <w:rPr>
      <w:rFonts w:ascii="Tahoma" w:hAnsi="Tahoma" w:cs="Tahoma"/>
      <w:sz w:val="16"/>
      <w:szCs w:val="16"/>
    </w:rPr>
  </w:style>
  <w:style w:type="character" w:customStyle="1" w:styleId="BalloonTextChar">
    <w:name w:val="Balloon Text Char"/>
    <w:basedOn w:val="DefaultParagraphFont"/>
    <w:link w:val="BalloonText"/>
    <w:uiPriority w:val="99"/>
    <w:semiHidden/>
    <w:rsid w:val="00CF4052"/>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8198">
      <w:bodyDiv w:val="1"/>
      <w:marLeft w:val="0"/>
      <w:marRight w:val="0"/>
      <w:marTop w:val="0"/>
      <w:marBottom w:val="0"/>
      <w:divBdr>
        <w:top w:val="none" w:sz="0" w:space="0" w:color="auto"/>
        <w:left w:val="none" w:sz="0" w:space="0" w:color="auto"/>
        <w:bottom w:val="none" w:sz="0" w:space="0" w:color="auto"/>
        <w:right w:val="none" w:sz="0" w:space="0" w:color="auto"/>
      </w:divBdr>
    </w:div>
    <w:div w:id="591939652">
      <w:bodyDiv w:val="1"/>
      <w:marLeft w:val="0"/>
      <w:marRight w:val="0"/>
      <w:marTop w:val="0"/>
      <w:marBottom w:val="0"/>
      <w:divBdr>
        <w:top w:val="none" w:sz="0" w:space="0" w:color="auto"/>
        <w:left w:val="none" w:sz="0" w:space="0" w:color="auto"/>
        <w:bottom w:val="none" w:sz="0" w:space="0" w:color="auto"/>
        <w:right w:val="none" w:sz="0" w:space="0" w:color="auto"/>
      </w:divBdr>
    </w:div>
    <w:div w:id="1219559982">
      <w:bodyDiv w:val="1"/>
      <w:marLeft w:val="0"/>
      <w:marRight w:val="0"/>
      <w:marTop w:val="0"/>
      <w:marBottom w:val="0"/>
      <w:divBdr>
        <w:top w:val="none" w:sz="0" w:space="0" w:color="auto"/>
        <w:left w:val="none" w:sz="0" w:space="0" w:color="auto"/>
        <w:bottom w:val="none" w:sz="0" w:space="0" w:color="auto"/>
        <w:right w:val="none" w:sz="0" w:space="0" w:color="auto"/>
      </w:divBdr>
    </w:div>
    <w:div w:id="1315840317">
      <w:bodyDiv w:val="1"/>
      <w:marLeft w:val="0"/>
      <w:marRight w:val="0"/>
      <w:marTop w:val="0"/>
      <w:marBottom w:val="0"/>
      <w:divBdr>
        <w:top w:val="none" w:sz="0" w:space="0" w:color="auto"/>
        <w:left w:val="none" w:sz="0" w:space="0" w:color="auto"/>
        <w:bottom w:val="none" w:sz="0" w:space="0" w:color="auto"/>
        <w:right w:val="none" w:sz="0" w:space="0" w:color="auto"/>
      </w:divBdr>
    </w:div>
    <w:div w:id="1383560034">
      <w:bodyDiv w:val="1"/>
      <w:marLeft w:val="0"/>
      <w:marRight w:val="0"/>
      <w:marTop w:val="0"/>
      <w:marBottom w:val="0"/>
      <w:divBdr>
        <w:top w:val="none" w:sz="0" w:space="0" w:color="auto"/>
        <w:left w:val="none" w:sz="0" w:space="0" w:color="auto"/>
        <w:bottom w:val="none" w:sz="0" w:space="0" w:color="auto"/>
        <w:right w:val="none" w:sz="0" w:space="0" w:color="auto"/>
      </w:divBdr>
    </w:div>
    <w:div w:id="19414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83B3-1D12-4296-BB71-2FFC4858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jespersen</dc:creator>
  <cp:keywords/>
  <dc:description/>
  <cp:lastModifiedBy>QC</cp:lastModifiedBy>
  <cp:revision>4</cp:revision>
  <dcterms:created xsi:type="dcterms:W3CDTF">2019-05-22T23:46:00Z</dcterms:created>
  <dcterms:modified xsi:type="dcterms:W3CDTF">2019-07-01T09:15:00Z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https://csl.mendeley.com/styles/26301621/apa</vt:lpwstr>
  </property>
  <property fmtid="{D5CDD505-2E9C-101B-9397-08002B2CF9AE}" pid="4" name="Mendeley Unique User Id_1">
    <vt:lpwstr>6a93b1fe-72f3-3837-9a83-2aa5aea155e4</vt:lpwstr>
  </property>
</Properties>
</file>