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C" w:rsidRDefault="005A6CEC" w:rsidP="005104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</w:t>
      </w:r>
      <w:r w:rsidRPr="00854F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54FFC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854F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Effects of GEFs, GAPs and GDIs on centrosome-regulated Rac1 activation.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1835"/>
        <w:gridCol w:w="4599"/>
        <w:gridCol w:w="2717"/>
        <w:gridCol w:w="736"/>
        <w:gridCol w:w="2717"/>
        <w:gridCol w:w="736"/>
      </w:tblGrid>
      <w:tr w:rsidR="005A6CEC" w:rsidRPr="0070378E" w:rsidTr="0070378E">
        <w:trPr>
          <w:trHeight w:val="300"/>
        </w:trPr>
        <w:tc>
          <w:tcPr>
            <w:tcW w:w="834" w:type="dxa"/>
            <w:shd w:val="clear" w:color="auto" w:fill="D9D9D9"/>
          </w:tcPr>
          <w:p w:rsidR="005A6CEC" w:rsidRPr="0070378E" w:rsidRDefault="005A6CEC" w:rsidP="00854F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835" w:type="dxa"/>
            <w:shd w:val="clear" w:color="auto" w:fill="D9D9D9"/>
          </w:tcPr>
          <w:p w:rsidR="005A6CEC" w:rsidRPr="0070378E" w:rsidRDefault="005A6C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shRNA target gene</w:t>
            </w:r>
          </w:p>
        </w:tc>
        <w:tc>
          <w:tcPr>
            <w:tcW w:w="4599" w:type="dxa"/>
            <w:shd w:val="clear" w:color="auto" w:fill="D9D9D9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shRNA target protein</w:t>
            </w:r>
          </w:p>
        </w:tc>
        <w:tc>
          <w:tcPr>
            <w:tcW w:w="2717" w:type="dxa"/>
            <w:shd w:val="clear" w:color="auto" w:fill="D9D9D9"/>
          </w:tcPr>
          <w:p w:rsidR="005A6CEC" w:rsidRPr="0070378E" w:rsidRDefault="005A6CEC" w:rsidP="00854F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Ratio in Rac1 activity assay</w:t>
            </w:r>
            <w:r w:rsidRPr="0070378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6" w:type="dxa"/>
            <w:shd w:val="clear" w:color="auto" w:fill="D9D9D9"/>
          </w:tcPr>
          <w:p w:rsidR="005A6CEC" w:rsidRPr="0070378E" w:rsidRDefault="005A6CEC" w:rsidP="00854F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r w:rsidRPr="0070378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717" w:type="dxa"/>
            <w:shd w:val="clear" w:color="auto" w:fill="D9D9D9"/>
          </w:tcPr>
          <w:p w:rsidR="005A6CEC" w:rsidRPr="0070378E" w:rsidRDefault="005A6CEC" w:rsidP="00854F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Ratio in Rac1 activity assay</w:t>
            </w:r>
            <w:r w:rsidRPr="0070378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36" w:type="dxa"/>
            <w:shd w:val="clear" w:color="auto" w:fill="D9D9D9"/>
          </w:tcPr>
          <w:p w:rsidR="005A6CEC" w:rsidRPr="0070378E" w:rsidRDefault="005A6CEC" w:rsidP="00854F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/>
                <w:bCs/>
                <w:sz w:val="16"/>
                <w:szCs w:val="16"/>
              </w:rPr>
              <w:t>Effect</w:t>
            </w:r>
            <w:r w:rsidRPr="0070378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2.94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2.68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GIT1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ARF GTPase-activating protein GIT1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1.6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1.6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GIT2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ARF GTPase-activating protein GIT2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1.39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1.76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TIAM1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T Cell Lymphoma Invasion And Metastasis 1 (TIAM1)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6.85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3.75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ARHGEF7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Symbol" w:hAnsi="Symbol" w:cs="Arial" w:hint="eastAsia"/>
                <w:bCs/>
                <w:sz w:val="16"/>
                <w:szCs w:val="16"/>
              </w:rPr>
              <w:t></w:t>
            </w:r>
            <w:r w:rsidRPr="0070378E">
              <w:rPr>
                <w:rFonts w:ascii="Arial" w:hAnsi="Arial" w:cs="Arial"/>
                <w:bCs/>
                <w:sz w:val="16"/>
                <w:szCs w:val="16"/>
              </w:rPr>
              <w:t>-PIX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1.48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1.38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ARHGDIA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Rho GDP-dissociation inhibitor alpha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1.37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1.58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  <w:tr w:rsidR="005A6CEC" w:rsidRPr="0070378E" w:rsidTr="0070378E">
        <w:trPr>
          <w:trHeight w:val="260"/>
        </w:trPr>
        <w:tc>
          <w:tcPr>
            <w:tcW w:w="834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35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GDI2</w:t>
            </w:r>
          </w:p>
        </w:tc>
        <w:tc>
          <w:tcPr>
            <w:tcW w:w="4599" w:type="dxa"/>
            <w:noWrap/>
          </w:tcPr>
          <w:p w:rsidR="005A6CEC" w:rsidRPr="0070378E" w:rsidRDefault="005A6C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GDP dissociation inhibitor 2 (GDIB)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1.66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  <w:tc>
          <w:tcPr>
            <w:tcW w:w="2717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1.45</w:t>
            </w:r>
          </w:p>
        </w:tc>
        <w:tc>
          <w:tcPr>
            <w:tcW w:w="736" w:type="dxa"/>
            <w:noWrap/>
          </w:tcPr>
          <w:p w:rsidR="005A6CEC" w:rsidRPr="0070378E" w:rsidRDefault="005A6CEC" w:rsidP="00854FF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378E">
              <w:rPr>
                <w:rFonts w:ascii="Arial" w:hAnsi="Arial" w:cs="Arial"/>
                <w:bCs/>
                <w:sz w:val="16"/>
                <w:szCs w:val="16"/>
              </w:rPr>
              <w:t>↑</w:t>
            </w:r>
          </w:p>
        </w:tc>
      </w:tr>
    </w:tbl>
    <w:p w:rsidR="005A6CEC" w:rsidRPr="00AF4E23" w:rsidRDefault="005A6CEC" w:rsidP="00D071DD">
      <w:pPr>
        <w:rPr>
          <w:rFonts w:ascii="Arial" w:hAnsi="Arial" w:cs="Arial"/>
          <w:bCs/>
          <w:sz w:val="20"/>
          <w:szCs w:val="20"/>
        </w:rPr>
      </w:pPr>
      <w:r w:rsidRPr="00AF4E23">
        <w:rPr>
          <w:rFonts w:ascii="Arial" w:hAnsi="Arial" w:cs="Arial"/>
          <w:bCs/>
          <w:sz w:val="20"/>
          <w:szCs w:val="20"/>
          <w:vertAlign w:val="superscript"/>
        </w:rPr>
        <w:t>a</w:t>
      </w:r>
      <w:r w:rsidRPr="00AF4E23">
        <w:rPr>
          <w:rFonts w:ascii="Arial" w:hAnsi="Arial" w:cs="Arial"/>
          <w:bCs/>
          <w:sz w:val="20"/>
          <w:szCs w:val="20"/>
        </w:rPr>
        <w:t xml:space="preserve"> Integrated band intensity (in Western blot) intensity ratio of R</w:t>
      </w:r>
      <w:r>
        <w:rPr>
          <w:rFonts w:ascii="Arial" w:hAnsi="Arial" w:cs="Arial"/>
          <w:bCs/>
          <w:sz w:val="20"/>
          <w:szCs w:val="20"/>
        </w:rPr>
        <w:t>PEp53</w:t>
      </w:r>
      <w:r w:rsidRPr="00C078CA">
        <w:rPr>
          <w:rFonts w:ascii="Arial" w:hAnsi="Arial" w:cs="Arial"/>
          <w:bCs/>
          <w:sz w:val="20"/>
          <w:szCs w:val="20"/>
          <w:vertAlign w:val="superscript"/>
        </w:rPr>
        <w:t>-/-</w:t>
      </w:r>
      <w:r>
        <w:rPr>
          <w:rFonts w:ascii="Arial" w:hAnsi="Arial" w:cs="Arial"/>
          <w:bCs/>
          <w:sz w:val="20"/>
          <w:szCs w:val="20"/>
        </w:rPr>
        <w:t>SAS6</w:t>
      </w:r>
      <w:r w:rsidRPr="00C078CA">
        <w:rPr>
          <w:rFonts w:ascii="Arial" w:hAnsi="Arial" w:cs="Arial"/>
          <w:bCs/>
          <w:sz w:val="20"/>
          <w:szCs w:val="20"/>
          <w:vertAlign w:val="superscript"/>
        </w:rPr>
        <w:t>-/-</w:t>
      </w:r>
      <w:r>
        <w:rPr>
          <w:rFonts w:ascii="Arial" w:hAnsi="Arial" w:cs="Arial"/>
          <w:bCs/>
          <w:sz w:val="20"/>
          <w:szCs w:val="20"/>
        </w:rPr>
        <w:t>/RPEp53</w:t>
      </w:r>
      <w:r w:rsidRPr="00C078CA">
        <w:rPr>
          <w:rFonts w:ascii="Arial" w:hAnsi="Arial" w:cs="Arial"/>
          <w:bCs/>
          <w:sz w:val="20"/>
          <w:szCs w:val="20"/>
          <w:vertAlign w:val="superscript"/>
        </w:rPr>
        <w:t>-/-</w:t>
      </w:r>
      <w:r>
        <w:rPr>
          <w:rFonts w:ascii="Arial" w:hAnsi="Arial" w:cs="Arial"/>
          <w:bCs/>
          <w:sz w:val="20"/>
          <w:szCs w:val="20"/>
        </w:rPr>
        <w:t>.</w:t>
      </w:r>
      <w:r w:rsidRPr="00AF4E23">
        <w:rPr>
          <w:rFonts w:ascii="Arial" w:hAnsi="Arial" w:cs="Arial"/>
          <w:bCs/>
          <w:sz w:val="20"/>
          <w:szCs w:val="20"/>
        </w:rPr>
        <w:t xml:space="preserve"> 1.25-fold was set as threshold of substantial change.</w:t>
      </w:r>
    </w:p>
    <w:p w:rsidR="005A6CEC" w:rsidRPr="00AF4E23" w:rsidRDefault="005A6CEC" w:rsidP="00AF4E23">
      <w:pPr>
        <w:ind w:left="142" w:hangingChars="71" w:hanging="142"/>
        <w:rPr>
          <w:rFonts w:ascii="Arial" w:hAnsi="Arial" w:cs="Arial"/>
          <w:bCs/>
          <w:sz w:val="20"/>
          <w:szCs w:val="20"/>
        </w:rPr>
      </w:pPr>
      <w:r w:rsidRPr="00AF4E23">
        <w:rPr>
          <w:rFonts w:ascii="Arial" w:hAnsi="Arial" w:cs="Arial"/>
          <w:bCs/>
          <w:sz w:val="20"/>
          <w:szCs w:val="20"/>
          <w:vertAlign w:val="superscript"/>
        </w:rPr>
        <w:t>b</w:t>
      </w:r>
      <w:r w:rsidRPr="00AF4E23">
        <w:rPr>
          <w:rFonts w:ascii="Arial" w:hAnsi="Arial" w:cs="Arial"/>
          <w:bCs/>
          <w:sz w:val="20"/>
          <w:szCs w:val="20"/>
        </w:rPr>
        <w:t xml:space="preserve"> Symbols presented the effect from ratio. ↑ indicated that the Rac1 activity was i</w:t>
      </w:r>
      <w:r>
        <w:rPr>
          <w:rFonts w:ascii="Arial" w:hAnsi="Arial" w:cs="Arial"/>
          <w:bCs/>
          <w:sz w:val="20"/>
          <w:szCs w:val="20"/>
        </w:rPr>
        <w:t>ncreased in acentrosomal cells;</w:t>
      </w:r>
      <w:r w:rsidRPr="00AF4E23">
        <w:rPr>
          <w:rFonts w:ascii="Arial" w:hAnsi="Arial" w:cs="Arial"/>
          <w:bCs/>
          <w:sz w:val="20"/>
          <w:szCs w:val="20"/>
        </w:rPr>
        <w:t xml:space="preserve"> − indicated that centrosome disruption did not alter Rac1 activity; ↓ indicated that the Rac1 activity was decreased in acentrosomal cells.</w:t>
      </w:r>
    </w:p>
    <w:p w:rsidR="005A6CEC" w:rsidRPr="00AF4E23" w:rsidRDefault="005A6CEC" w:rsidP="00D071DD">
      <w:pPr>
        <w:rPr>
          <w:rFonts w:ascii="Arial" w:hAnsi="Arial" w:cs="Arial"/>
          <w:bCs/>
          <w:sz w:val="20"/>
          <w:szCs w:val="20"/>
        </w:rPr>
      </w:pPr>
      <w:r w:rsidRPr="00AF4E23">
        <w:rPr>
          <w:rFonts w:ascii="Arial" w:hAnsi="Arial" w:cs="Arial"/>
          <w:bCs/>
          <w:sz w:val="20"/>
          <w:szCs w:val="20"/>
          <w:vertAlign w:val="superscript"/>
        </w:rPr>
        <w:t>c</w:t>
      </w:r>
      <w:r w:rsidRPr="00AF4E23">
        <w:rPr>
          <w:rFonts w:ascii="Arial" w:hAnsi="Arial" w:cs="Arial"/>
          <w:bCs/>
          <w:sz w:val="20"/>
          <w:szCs w:val="20"/>
        </w:rPr>
        <w:t xml:space="preserve"> Integrated band intensity (in Western blot) intensity ratio of RPEp53</w:t>
      </w:r>
      <w:r w:rsidRPr="00C078CA">
        <w:rPr>
          <w:rFonts w:ascii="Arial" w:hAnsi="Arial" w:cs="Arial"/>
          <w:bCs/>
          <w:sz w:val="20"/>
          <w:szCs w:val="20"/>
          <w:vertAlign w:val="superscript"/>
        </w:rPr>
        <w:t>-/-</w:t>
      </w:r>
      <w:r w:rsidRPr="00AF4E23">
        <w:rPr>
          <w:rFonts w:ascii="Arial" w:hAnsi="Arial" w:cs="Arial"/>
          <w:bCs/>
          <w:sz w:val="20"/>
          <w:szCs w:val="20"/>
        </w:rPr>
        <w:t>STIL</w:t>
      </w:r>
      <w:r w:rsidRPr="00C078CA">
        <w:rPr>
          <w:rFonts w:ascii="Arial" w:hAnsi="Arial" w:cs="Arial"/>
          <w:bCs/>
          <w:sz w:val="20"/>
          <w:szCs w:val="20"/>
          <w:vertAlign w:val="superscript"/>
        </w:rPr>
        <w:t>-/-</w:t>
      </w:r>
      <w:r w:rsidRPr="00AF4E23">
        <w:rPr>
          <w:rFonts w:ascii="Arial" w:hAnsi="Arial" w:cs="Arial"/>
          <w:bCs/>
          <w:sz w:val="20"/>
          <w:szCs w:val="20"/>
        </w:rPr>
        <w:t>/RPEp53</w:t>
      </w:r>
      <w:r w:rsidRPr="00C078CA">
        <w:rPr>
          <w:rFonts w:ascii="Arial" w:hAnsi="Arial" w:cs="Arial"/>
          <w:bCs/>
          <w:sz w:val="20"/>
          <w:szCs w:val="20"/>
          <w:vertAlign w:val="superscript"/>
        </w:rPr>
        <w:t>-/-</w:t>
      </w:r>
      <w:r w:rsidRPr="00AF4E23">
        <w:rPr>
          <w:rFonts w:ascii="Arial" w:hAnsi="Arial" w:cs="Arial"/>
          <w:bCs/>
          <w:sz w:val="20"/>
          <w:szCs w:val="20"/>
        </w:rPr>
        <w:t>. 1.25-fold was set as threshold of substantial change.</w:t>
      </w:r>
    </w:p>
    <w:sectPr w:rsidR="005A6CEC" w:rsidRPr="00AF4E23" w:rsidSect="00BE5E23">
      <w:footerReference w:type="default" r:id="rId6"/>
      <w:pgSz w:w="16838" w:h="11906" w:orient="landscape"/>
      <w:pgMar w:top="1134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EC" w:rsidRDefault="005A6CEC" w:rsidP="00BE5E23">
      <w:r>
        <w:separator/>
      </w:r>
    </w:p>
  </w:endnote>
  <w:endnote w:type="continuationSeparator" w:id="0">
    <w:p w:rsidR="005A6CEC" w:rsidRDefault="005A6CEC" w:rsidP="00BE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EC" w:rsidRDefault="005A6CEC">
    <w:pPr>
      <w:pStyle w:val="Footer"/>
      <w:jc w:val="center"/>
    </w:pPr>
    <w:fldSimple w:instr="PAGE   \* MERGEFORMAT">
      <w:r w:rsidRPr="005104E1">
        <w:rPr>
          <w:noProof/>
          <w:lang w:val="zh-TW"/>
        </w:rPr>
        <w:t>1</w:t>
      </w:r>
    </w:fldSimple>
  </w:p>
  <w:p w:rsidR="005A6CEC" w:rsidRDefault="005A6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EC" w:rsidRDefault="005A6CEC" w:rsidP="00BE5E23">
      <w:r>
        <w:separator/>
      </w:r>
    </w:p>
  </w:footnote>
  <w:footnote w:type="continuationSeparator" w:id="0">
    <w:p w:rsidR="005A6CEC" w:rsidRDefault="005A6CEC" w:rsidP="00BE5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1"/>
    <w:rsid w:val="000420C0"/>
    <w:rsid w:val="00066F49"/>
    <w:rsid w:val="001440EE"/>
    <w:rsid w:val="00264680"/>
    <w:rsid w:val="003E003A"/>
    <w:rsid w:val="005104E1"/>
    <w:rsid w:val="005A6CEC"/>
    <w:rsid w:val="0070378E"/>
    <w:rsid w:val="0077327A"/>
    <w:rsid w:val="007E1C11"/>
    <w:rsid w:val="00854FFC"/>
    <w:rsid w:val="008E4CDF"/>
    <w:rsid w:val="00910F1D"/>
    <w:rsid w:val="009C345B"/>
    <w:rsid w:val="00A551AB"/>
    <w:rsid w:val="00AE18DB"/>
    <w:rsid w:val="00AF4E23"/>
    <w:rsid w:val="00B16102"/>
    <w:rsid w:val="00BE5E23"/>
    <w:rsid w:val="00BE6A52"/>
    <w:rsid w:val="00C078CA"/>
    <w:rsid w:val="00C43BFD"/>
    <w:rsid w:val="00CA54D2"/>
    <w:rsid w:val="00CD7015"/>
    <w:rsid w:val="00D071DD"/>
    <w:rsid w:val="00D12367"/>
    <w:rsid w:val="00DE6AB7"/>
    <w:rsid w:val="00F01D59"/>
    <w:rsid w:val="00F35E33"/>
    <w:rsid w:val="00F759DF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1D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1C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11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E1C11"/>
    <w:pPr>
      <w:widowControl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Cs w:val="24"/>
    </w:rPr>
  </w:style>
  <w:style w:type="paragraph" w:customStyle="1" w:styleId="xl69">
    <w:name w:val="xl69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0">
    <w:name w:val="xl7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1">
    <w:name w:val="xl7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2">
    <w:name w:val="xl72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3">
    <w:name w:val="xl7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4">
    <w:name w:val="xl74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5">
    <w:name w:val="xl75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6">
    <w:name w:val="xl76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7">
    <w:name w:val="xl7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table" w:styleId="TableGrid">
    <w:name w:val="Table Grid"/>
    <w:basedOn w:val="TableNormal"/>
    <w:uiPriority w:val="99"/>
    <w:rsid w:val="007E1C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7E1C11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7E1C11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79">
    <w:name w:val="xl79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0">
    <w:name w:val="xl8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1">
    <w:name w:val="xl8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i/>
      <w:iCs/>
      <w:color w:val="000000"/>
      <w:kern w:val="0"/>
      <w:szCs w:val="24"/>
    </w:rPr>
  </w:style>
  <w:style w:type="paragraph" w:customStyle="1" w:styleId="xl82">
    <w:name w:val="xl8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3">
    <w:name w:val="xl83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84">
    <w:name w:val="xl84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5">
    <w:name w:val="xl85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6">
    <w:name w:val="xl86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7">
    <w:name w:val="xl8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8">
    <w:name w:val="xl88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9">
    <w:name w:val="xl89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0">
    <w:name w:val="xl9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1">
    <w:name w:val="xl9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2">
    <w:name w:val="xl9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3">
    <w:name w:val="xl9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4">
    <w:name w:val="xl94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E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E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943</Characters>
  <Application>Microsoft Office Outlook</Application>
  <DocSecurity>0</DocSecurity>
  <Lines>0</Lines>
  <Paragraphs>0</Paragraphs>
  <ScaleCrop>false</ScaleCrop>
  <Company>台北榮民總醫院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10592</cp:lastModifiedBy>
  <cp:revision>3</cp:revision>
  <dcterms:created xsi:type="dcterms:W3CDTF">2019-01-07T10:25:00Z</dcterms:created>
  <dcterms:modified xsi:type="dcterms:W3CDTF">2019-02-01T06:22:00Z</dcterms:modified>
</cp:coreProperties>
</file>