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38" w:rsidRPr="00EF3D43" w:rsidRDefault="00E33438" w:rsidP="00361DDF">
      <w:pPr>
        <w:spacing w:after="120" w:line="360" w:lineRule="auto"/>
        <w:jc w:val="both"/>
        <w:rPr>
          <w:rFonts w:ascii="Calibri" w:hAnsi="Calibri"/>
          <w:sz w:val="22"/>
          <w:szCs w:val="22"/>
          <w:lang w:val="en-GB"/>
        </w:rPr>
      </w:pPr>
      <w:r w:rsidRPr="00EF3D43">
        <w:rPr>
          <w:rFonts w:ascii="Calibri" w:hAnsi="Calibri"/>
          <w:b/>
          <w:sz w:val="22"/>
          <w:szCs w:val="22"/>
        </w:rPr>
        <w:t>Supplementary</w:t>
      </w:r>
      <w:r w:rsidRPr="00EF3D43">
        <w:rPr>
          <w:rFonts w:ascii="Calibri" w:hAnsi="Calibri"/>
          <w:b/>
          <w:sz w:val="22"/>
          <w:szCs w:val="22"/>
          <w:lang w:val="en-GB"/>
        </w:rPr>
        <w:t xml:space="preserve"> Table 2. Parameters used for calculation and the resulting concentrations of residual inhibitory activity of sitagliptin, UAMC39, UAMC1110 and KYP-2047</w:t>
      </w:r>
      <w:r w:rsidRPr="00EF3D43">
        <w:rPr>
          <w:rFonts w:ascii="Calibri" w:hAnsi="Calibri"/>
          <w:sz w:val="22"/>
          <w:szCs w:val="22"/>
          <w:lang w:val="en-GB"/>
        </w:rPr>
        <w:t xml:space="preserve"> </w:t>
      </w:r>
      <w:r w:rsidRPr="00EF3D43">
        <w:rPr>
          <w:rFonts w:ascii="Calibri" w:hAnsi="Calibri"/>
          <w:b/>
          <w:sz w:val="22"/>
          <w:szCs w:val="22"/>
          <w:lang w:val="en-GB"/>
        </w:rPr>
        <w:t xml:space="preserve">in cell lysates or medium. </w:t>
      </w:r>
      <w:r w:rsidRPr="00EF3D43">
        <w:rPr>
          <w:rFonts w:ascii="Calibri" w:hAnsi="Calibri"/>
          <w:sz w:val="22"/>
          <w:szCs w:val="22"/>
          <w:lang w:val="en-GB"/>
        </w:rPr>
        <w:t xml:space="preserve">BMDMs were mock-treated or received 10 µM of each inhibitor for 15min. Cell lysates and supernatants were quantified for their level of inhibition of their target enzyme, as described in Methods. The parameters included are: </w:t>
      </w:r>
      <w:r w:rsidRPr="00EF3D43">
        <w:rPr>
          <w:rFonts w:ascii="Calibri" w:hAnsi="Calibri"/>
          <w:i/>
          <w:sz w:val="22"/>
          <w:szCs w:val="22"/>
        </w:rPr>
        <w:t>y</w:t>
      </w:r>
      <w:r w:rsidRPr="00EF3D43">
        <w:rPr>
          <w:rFonts w:ascii="Calibri" w:hAnsi="Calibri"/>
          <w:sz w:val="22"/>
          <w:szCs w:val="22"/>
        </w:rPr>
        <w:t>: value of the residual activity compared to a non-inhibited sample; IC</w:t>
      </w:r>
      <w:r w:rsidRPr="00EF3D43">
        <w:rPr>
          <w:rFonts w:ascii="Calibri" w:hAnsi="Calibri"/>
          <w:sz w:val="22"/>
          <w:szCs w:val="22"/>
          <w:vertAlign w:val="subscript"/>
        </w:rPr>
        <w:t>50</w:t>
      </w:r>
      <w:r w:rsidRPr="00EF3D43">
        <w:rPr>
          <w:rFonts w:ascii="Calibri" w:hAnsi="Calibri"/>
          <w:sz w:val="22"/>
          <w:szCs w:val="22"/>
          <w:vertAlign w:val="superscript"/>
        </w:rPr>
        <w:t xml:space="preserve">: </w:t>
      </w:r>
      <w:r w:rsidRPr="00EF3D43">
        <w:rPr>
          <w:rFonts w:ascii="Calibri" w:hAnsi="Calibri"/>
          <w:sz w:val="22"/>
          <w:szCs w:val="22"/>
        </w:rPr>
        <w:t>half maximum inhibitory concentration.</w:t>
      </w:r>
    </w:p>
    <w:tbl>
      <w:tblPr>
        <w:tblW w:w="5000" w:type="pct"/>
        <w:jc w:val="center"/>
        <w:tblCellMar>
          <w:left w:w="0" w:type="dxa"/>
          <w:right w:w="0" w:type="dxa"/>
        </w:tblCellMar>
        <w:tblLook w:val="0000"/>
      </w:tblPr>
      <w:tblGrid>
        <w:gridCol w:w="2075"/>
        <w:gridCol w:w="3651"/>
        <w:gridCol w:w="3654"/>
      </w:tblGrid>
      <w:tr w:rsidR="00E33438" w:rsidRPr="00EF3D43" w:rsidTr="00CD4DED">
        <w:trPr>
          <w:trHeight w:val="340"/>
          <w:jc w:val="center"/>
        </w:trPr>
        <w:tc>
          <w:tcPr>
            <w:tcW w:w="110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b/>
                <w:bCs/>
                <w:sz w:val="22"/>
                <w:szCs w:val="22"/>
                <w:lang w:val="en-GB"/>
              </w:rPr>
              <w:t>Inhibitor</w:t>
            </w: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b/>
                <w:bCs/>
                <w:sz w:val="22"/>
                <w:szCs w:val="22"/>
                <w:lang w:val="en-GB"/>
              </w:rPr>
              <w:t>Parameter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b/>
                <w:bCs/>
                <w:sz w:val="22"/>
                <w:szCs w:val="22"/>
                <w:lang w:val="en-GB"/>
              </w:rPr>
              <w:t>Value</w:t>
            </w:r>
          </w:p>
        </w:tc>
      </w:tr>
      <w:tr w:rsidR="00E33438" w:rsidRPr="00EF3D43" w:rsidTr="00CD4DED">
        <w:trPr>
          <w:trHeight w:val="340"/>
          <w:jc w:val="center"/>
        </w:trPr>
        <w:tc>
          <w:tcPr>
            <w:tcW w:w="1106" w:type="pct"/>
            <w:vMerge w:val="restar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sitagliptin</w:t>
            </w:r>
          </w:p>
          <w:p w:rsidR="00E33438" w:rsidRPr="00EF3D43" w:rsidRDefault="00E33438" w:rsidP="00361DDF">
            <w:pPr>
              <w:spacing w:line="360" w:lineRule="auto"/>
              <w:jc w:val="center"/>
              <w:rPr>
                <w:rFonts w:ascii="Calibri" w:hAnsi="Calibri"/>
                <w:sz w:val="22"/>
                <w:szCs w:val="22"/>
                <w:lang w:val="en-GB"/>
              </w:rPr>
            </w:pPr>
          </w:p>
        </w:tc>
        <w:tc>
          <w:tcPr>
            <w:tcW w:w="3894" w:type="pct"/>
            <w:gridSpan w:val="2"/>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Medium</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Y-range</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1.02 ± 0.01</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Ic</w:t>
            </w:r>
            <w:r w:rsidRPr="00EF3D43">
              <w:rPr>
                <w:rFonts w:ascii="Calibri" w:hAnsi="Calibri"/>
                <w:sz w:val="22"/>
                <w:szCs w:val="22"/>
                <w:vertAlign w:val="subscript"/>
                <w:lang w:val="en-GB"/>
              </w:rPr>
              <w:t>50</w:t>
            </w:r>
            <w:r w:rsidRPr="00EF3D43">
              <w:rPr>
                <w:rFonts w:ascii="Calibri" w:hAnsi="Calibri"/>
                <w:sz w:val="22"/>
                <w:szCs w:val="22"/>
                <w:lang w:val="en-GB"/>
              </w:rPr>
              <w:t xml:space="preserve"> (nM)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61 ± 3</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Slope factor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1.03 ± 0.04</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Background</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0.005 ± 0.007</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Inhibitor in medium (µM)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11.7</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Inhibition (%)</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99</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3894" w:type="pct"/>
            <w:gridSpan w:val="2"/>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Cell lysate</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Y-range</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1.00 ± 0.01</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Ic</w:t>
            </w:r>
            <w:r w:rsidRPr="00EF3D43">
              <w:rPr>
                <w:rFonts w:ascii="Calibri" w:hAnsi="Calibri"/>
                <w:sz w:val="22"/>
                <w:szCs w:val="22"/>
                <w:vertAlign w:val="subscript"/>
                <w:lang w:val="en-GB"/>
              </w:rPr>
              <w:t>50</w:t>
            </w:r>
            <w:r w:rsidRPr="00EF3D43">
              <w:rPr>
                <w:rFonts w:ascii="Calibri" w:hAnsi="Calibri"/>
                <w:sz w:val="22"/>
                <w:szCs w:val="22"/>
                <w:lang w:val="en-GB"/>
              </w:rPr>
              <w:t xml:space="preserve"> (nM)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40 ± 2</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Slope factor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1.02 ± 0.04</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Background</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0.004 ± 0.007</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Inhibitor in lysate (µM)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0.8</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Inhibition (%)</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95</w:t>
            </w:r>
          </w:p>
        </w:tc>
      </w:tr>
      <w:tr w:rsidR="00E33438" w:rsidRPr="00EF3D43" w:rsidTr="00CD4DED">
        <w:trPr>
          <w:trHeight w:val="340"/>
          <w:jc w:val="center"/>
        </w:trPr>
        <w:tc>
          <w:tcPr>
            <w:tcW w:w="1106" w:type="pct"/>
            <w:vMerge w:val="restar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UAMC39</w:t>
            </w:r>
          </w:p>
          <w:p w:rsidR="00E33438" w:rsidRPr="00EF3D43" w:rsidRDefault="00E33438" w:rsidP="00361DDF">
            <w:pPr>
              <w:spacing w:line="360" w:lineRule="auto"/>
              <w:jc w:val="center"/>
              <w:rPr>
                <w:rFonts w:ascii="Calibri" w:hAnsi="Calibri"/>
                <w:sz w:val="22"/>
                <w:szCs w:val="22"/>
                <w:lang w:val="en-GB"/>
              </w:rPr>
            </w:pPr>
          </w:p>
        </w:tc>
        <w:tc>
          <w:tcPr>
            <w:tcW w:w="3894" w:type="pct"/>
            <w:gridSpan w:val="2"/>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Medium</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Y-range</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98 ± 2</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Ic</w:t>
            </w:r>
            <w:r w:rsidRPr="00EF3D43">
              <w:rPr>
                <w:rFonts w:ascii="Calibri" w:hAnsi="Calibri"/>
                <w:sz w:val="22"/>
                <w:szCs w:val="22"/>
                <w:vertAlign w:val="subscript"/>
                <w:lang w:val="en-GB"/>
              </w:rPr>
              <w:t>50</w:t>
            </w:r>
            <w:r w:rsidRPr="00EF3D43">
              <w:rPr>
                <w:rFonts w:ascii="Calibri" w:hAnsi="Calibri"/>
                <w:sz w:val="22"/>
                <w:szCs w:val="22"/>
                <w:lang w:val="en-GB"/>
              </w:rPr>
              <w:t xml:space="preserve"> (nM)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9.8 ± 0.6</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Slope factor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1.4 ± 0.1</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Background</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 ± 1</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Inhibitor in medium (µM)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52/45</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Inhibition (%)</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100</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3894" w:type="pct"/>
            <w:gridSpan w:val="2"/>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Cell lysate</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Y-range</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90 ± 5</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Ic</w:t>
            </w:r>
            <w:r w:rsidRPr="00EF3D43">
              <w:rPr>
                <w:rFonts w:ascii="Calibri" w:hAnsi="Calibri"/>
                <w:sz w:val="22"/>
                <w:szCs w:val="22"/>
                <w:vertAlign w:val="subscript"/>
                <w:lang w:val="en-GB"/>
              </w:rPr>
              <w:t>50</w:t>
            </w:r>
            <w:r w:rsidRPr="00EF3D43">
              <w:rPr>
                <w:rFonts w:ascii="Calibri" w:hAnsi="Calibri"/>
                <w:sz w:val="22"/>
                <w:szCs w:val="22"/>
                <w:lang w:val="en-GB"/>
              </w:rPr>
              <w:t xml:space="preserve"> (nM)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6 ± 1</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Slope factor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1.3 ± 0.3</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Background</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 ± 4</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Inhibitor in lysate (µM)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120/66</w:t>
            </w:r>
          </w:p>
        </w:tc>
      </w:tr>
      <w:tr w:rsidR="00E33438" w:rsidRPr="00EF3D43" w:rsidTr="00CD4DED">
        <w:trPr>
          <w:trHeight w:val="340"/>
          <w:jc w:val="center"/>
        </w:trPr>
        <w:tc>
          <w:tcPr>
            <w:tcW w:w="1106" w:type="pct"/>
            <w:vMerge/>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Inhibition (%)</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100</w:t>
            </w:r>
          </w:p>
        </w:tc>
      </w:tr>
      <w:tr w:rsidR="00E33438" w:rsidRPr="00EF3D43" w:rsidTr="00CD4DED">
        <w:trPr>
          <w:trHeight w:val="340"/>
          <w:jc w:val="center"/>
        </w:trPr>
        <w:tc>
          <w:tcPr>
            <w:tcW w:w="1106" w:type="pct"/>
            <w:vMerge w:val="restart"/>
            <w:tcBorders>
              <w:top w:val="single" w:sz="8" w:space="0" w:color="000000"/>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UAMC1110</w:t>
            </w:r>
          </w:p>
        </w:tc>
        <w:tc>
          <w:tcPr>
            <w:tcW w:w="3894" w:type="pct"/>
            <w:gridSpan w:val="2"/>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Medium</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Y-range</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1.35 ± 0.03</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Ic</w:t>
            </w:r>
            <w:r w:rsidRPr="00EF3D43">
              <w:rPr>
                <w:rFonts w:ascii="Calibri" w:hAnsi="Calibri"/>
                <w:sz w:val="22"/>
                <w:szCs w:val="22"/>
                <w:vertAlign w:val="subscript"/>
                <w:lang w:val="en-GB"/>
              </w:rPr>
              <w:t>50</w:t>
            </w:r>
            <w:r w:rsidRPr="00EF3D43">
              <w:rPr>
                <w:rFonts w:ascii="Calibri" w:hAnsi="Calibri"/>
                <w:sz w:val="22"/>
                <w:szCs w:val="22"/>
                <w:lang w:val="en-GB"/>
              </w:rPr>
              <w:t xml:space="preserve"> (nM)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0.52 ± 0.04</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Slope factor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1.2 ± 0.1</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Background</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-0.01 ± 0.02</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Inhibitor in medium (µM)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8.8</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Inhibition (%)</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100</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3894" w:type="pct"/>
            <w:gridSpan w:val="2"/>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Cell lysate</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Y-range</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1.33 ± 0.02</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Ic</w:t>
            </w:r>
            <w:r w:rsidRPr="00EF3D43">
              <w:rPr>
                <w:rFonts w:ascii="Calibri" w:hAnsi="Calibri"/>
                <w:sz w:val="22"/>
                <w:szCs w:val="22"/>
                <w:vertAlign w:val="subscript"/>
                <w:lang w:val="en-GB"/>
              </w:rPr>
              <w:t>50</w:t>
            </w:r>
            <w:r w:rsidRPr="00EF3D43">
              <w:rPr>
                <w:rFonts w:ascii="Calibri" w:hAnsi="Calibri"/>
                <w:sz w:val="22"/>
                <w:szCs w:val="22"/>
                <w:lang w:val="en-GB"/>
              </w:rPr>
              <w:t xml:space="preserve"> (nM)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0.46 ± 0.02</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Slope factor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1.21 ± 0.07</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Background</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-0.02 ± 0.01</w:t>
            </w:r>
          </w:p>
        </w:tc>
      </w:tr>
      <w:tr w:rsidR="00E33438" w:rsidRPr="00EF3D43" w:rsidTr="00CD4DED">
        <w:trPr>
          <w:trHeight w:val="340"/>
          <w:jc w:val="center"/>
        </w:trPr>
        <w:tc>
          <w:tcPr>
            <w:tcW w:w="1106" w:type="pct"/>
            <w:vMerge/>
            <w:tcBorders>
              <w:left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Inhibitor in lysate (µM)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0.4</w:t>
            </w:r>
          </w:p>
        </w:tc>
      </w:tr>
      <w:tr w:rsidR="00E33438" w:rsidRPr="00EF3D43" w:rsidTr="00CD4DED">
        <w:trPr>
          <w:trHeight w:val="340"/>
          <w:jc w:val="center"/>
        </w:trPr>
        <w:tc>
          <w:tcPr>
            <w:tcW w:w="1106" w:type="pct"/>
            <w:vMerge/>
            <w:tcBorders>
              <w:left w:val="single" w:sz="8" w:space="0" w:color="000000"/>
              <w:bottom w:val="single" w:sz="4" w:space="0" w:color="auto"/>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Inhibition (%)</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100</w:t>
            </w:r>
          </w:p>
        </w:tc>
      </w:tr>
      <w:tr w:rsidR="00E33438" w:rsidRPr="00EF3D43" w:rsidTr="00CD4DED">
        <w:trPr>
          <w:trHeight w:val="340"/>
          <w:jc w:val="center"/>
        </w:trPr>
        <w:tc>
          <w:tcPr>
            <w:tcW w:w="1106" w:type="pct"/>
            <w:vMerge w:val="restart"/>
            <w:tcBorders>
              <w:top w:val="single" w:sz="8" w:space="0" w:color="000000"/>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KYP-2047</w:t>
            </w:r>
          </w:p>
        </w:tc>
        <w:tc>
          <w:tcPr>
            <w:tcW w:w="3894" w:type="pct"/>
            <w:gridSpan w:val="2"/>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Medium</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Y-range</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0.94 ± 0.02</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Ic</w:t>
            </w:r>
            <w:r w:rsidRPr="00EF3D43">
              <w:rPr>
                <w:rFonts w:ascii="Calibri" w:hAnsi="Calibri"/>
                <w:sz w:val="22"/>
                <w:szCs w:val="22"/>
                <w:vertAlign w:val="subscript"/>
                <w:lang w:val="en-GB"/>
              </w:rPr>
              <w:t>50</w:t>
            </w:r>
            <w:r w:rsidRPr="00EF3D43">
              <w:rPr>
                <w:rFonts w:ascii="Calibri" w:hAnsi="Calibri"/>
                <w:sz w:val="22"/>
                <w:szCs w:val="22"/>
                <w:lang w:val="en-GB"/>
              </w:rPr>
              <w:t xml:space="preserve"> (nM)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3.0 ± 0.3</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Slope factor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0.96 ± 0.07</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Background</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0.003 ± 0.011</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Inhibitor in medium (µM)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8.4</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Inhibition (%)</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100</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3894" w:type="pct"/>
            <w:gridSpan w:val="2"/>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Cell lysate</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Y-range</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1.08 ± 0.01</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Ic</w:t>
            </w:r>
            <w:r w:rsidRPr="00EF3D43">
              <w:rPr>
                <w:rFonts w:ascii="Calibri" w:hAnsi="Calibri"/>
                <w:sz w:val="22"/>
                <w:szCs w:val="22"/>
                <w:vertAlign w:val="subscript"/>
                <w:lang w:val="en-GB"/>
              </w:rPr>
              <w:t>50</w:t>
            </w:r>
            <w:r w:rsidRPr="00EF3D43">
              <w:rPr>
                <w:rFonts w:ascii="Calibri" w:hAnsi="Calibri"/>
                <w:sz w:val="22"/>
                <w:szCs w:val="22"/>
                <w:lang w:val="en-GB"/>
              </w:rPr>
              <w:t xml:space="preserve"> (nM)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8.6 ± 0.4</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Slope factor</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1.10 ± 0.05</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Background</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-0.003 ± 0.008</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Inhibitor in lysate (µM)</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1.1</w:t>
            </w:r>
          </w:p>
        </w:tc>
      </w:tr>
      <w:tr w:rsidR="00E33438" w:rsidRPr="00EF3D43" w:rsidTr="00CD4DED">
        <w:trPr>
          <w:trHeight w:val="340"/>
          <w:jc w:val="center"/>
        </w:trPr>
        <w:tc>
          <w:tcPr>
            <w:tcW w:w="1106" w:type="pct"/>
            <w:vMerge/>
            <w:tcBorders>
              <w:left w:val="single" w:sz="8" w:space="0" w:color="000000"/>
              <w:bottom w:val="single" w:sz="8" w:space="0" w:color="000000"/>
              <w:right w:val="single" w:sz="8" w:space="0" w:color="000000"/>
            </w:tcBorders>
            <w:vAlign w:val="center"/>
          </w:tcPr>
          <w:p w:rsidR="00E33438" w:rsidRPr="00EF3D43" w:rsidRDefault="00E33438" w:rsidP="00361DDF">
            <w:pPr>
              <w:spacing w:line="360" w:lineRule="auto"/>
              <w:jc w:val="center"/>
              <w:rPr>
                <w:rFonts w:ascii="Calibri" w:hAnsi="Calibri"/>
                <w:sz w:val="22"/>
                <w:szCs w:val="22"/>
                <w:lang w:val="en-GB"/>
              </w:rPr>
            </w:pPr>
          </w:p>
        </w:tc>
        <w:tc>
          <w:tcPr>
            <w:tcW w:w="1946"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Inhibition (%)</w:t>
            </w:r>
          </w:p>
        </w:tc>
        <w:tc>
          <w:tcPr>
            <w:tcW w:w="1948" w:type="pct"/>
            <w:tcBorders>
              <w:top w:val="single" w:sz="8" w:space="0" w:color="000000"/>
              <w:left w:val="single" w:sz="8" w:space="0" w:color="000000"/>
              <w:bottom w:val="single" w:sz="8" w:space="0" w:color="000000"/>
              <w:right w:val="single" w:sz="8" w:space="0" w:color="000000"/>
            </w:tcBorders>
            <w:tcMar>
              <w:top w:w="10" w:type="dxa"/>
              <w:left w:w="10" w:type="dxa"/>
              <w:bottom w:w="0" w:type="dxa"/>
              <w:right w:w="10" w:type="dxa"/>
            </w:tcMar>
            <w:vAlign w:val="bottom"/>
          </w:tcPr>
          <w:p w:rsidR="00E33438" w:rsidRPr="00EF3D43" w:rsidRDefault="00E33438" w:rsidP="00361DDF">
            <w:pPr>
              <w:spacing w:line="360" w:lineRule="auto"/>
              <w:jc w:val="center"/>
              <w:rPr>
                <w:rFonts w:ascii="Calibri" w:hAnsi="Calibri"/>
                <w:sz w:val="22"/>
                <w:szCs w:val="22"/>
                <w:lang w:val="en-GB"/>
              </w:rPr>
            </w:pPr>
            <w:r w:rsidRPr="00EF3D43">
              <w:rPr>
                <w:rFonts w:ascii="Calibri" w:hAnsi="Calibri"/>
                <w:sz w:val="22"/>
                <w:szCs w:val="22"/>
                <w:lang w:val="en-GB"/>
              </w:rPr>
              <w:t>100</w:t>
            </w:r>
          </w:p>
        </w:tc>
      </w:tr>
    </w:tbl>
    <w:p w:rsidR="00E33438" w:rsidRPr="00EF3D43" w:rsidRDefault="00E33438" w:rsidP="00C02BB9">
      <w:pPr>
        <w:spacing w:after="160" w:line="360" w:lineRule="auto"/>
        <w:jc w:val="both"/>
      </w:pPr>
    </w:p>
    <w:sectPr w:rsidR="00E33438" w:rsidRPr="00EF3D43" w:rsidSect="007376B4">
      <w:footerReference w:type="default" r:id="rId6"/>
      <w:headerReference w:type="first" r:id="rId7"/>
      <w:footerReference w:type="first" r:id="rId8"/>
      <w:pgSz w:w="12240" w:h="15840"/>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38" w:rsidRDefault="00E33438" w:rsidP="006B6C45">
      <w:r>
        <w:separator/>
      </w:r>
    </w:p>
  </w:endnote>
  <w:endnote w:type="continuationSeparator" w:id="0">
    <w:p w:rsidR="00E33438" w:rsidRDefault="00E33438" w:rsidP="006B6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38" w:rsidRDefault="00E33438">
    <w:pPr>
      <w:pStyle w:val="Footer"/>
      <w:jc w:val="right"/>
    </w:pPr>
    <w:fldSimple w:instr=" PAGE   \* MERGEFORMAT ">
      <w:r>
        <w:rPr>
          <w:noProof/>
        </w:rPr>
        <w:t>3</w:t>
      </w:r>
    </w:fldSimple>
  </w:p>
  <w:p w:rsidR="00E33438" w:rsidRDefault="00E33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38" w:rsidRDefault="00E33438">
    <w:pPr>
      <w:pStyle w:val="Footer"/>
      <w:jc w:val="right"/>
    </w:pPr>
    <w:fldSimple w:instr=" PAGE   \* MERGEFORMAT ">
      <w:r>
        <w:rPr>
          <w:noProof/>
        </w:rPr>
        <w:t>1</w:t>
      </w:r>
    </w:fldSimple>
  </w:p>
  <w:p w:rsidR="00E33438" w:rsidRDefault="00E33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38" w:rsidRDefault="00E33438" w:rsidP="006B6C45">
      <w:r>
        <w:separator/>
      </w:r>
    </w:p>
  </w:footnote>
  <w:footnote w:type="continuationSeparator" w:id="0">
    <w:p w:rsidR="00E33438" w:rsidRDefault="00E33438" w:rsidP="006B6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38" w:rsidRDefault="00E33438" w:rsidP="007376B4">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7D4"/>
    <w:rsid w:val="00002588"/>
    <w:rsid w:val="00020098"/>
    <w:rsid w:val="00036787"/>
    <w:rsid w:val="000600EA"/>
    <w:rsid w:val="00083390"/>
    <w:rsid w:val="000A4050"/>
    <w:rsid w:val="000D5560"/>
    <w:rsid w:val="000F073A"/>
    <w:rsid w:val="000F4F2B"/>
    <w:rsid w:val="00105CAB"/>
    <w:rsid w:val="00107192"/>
    <w:rsid w:val="00112D9F"/>
    <w:rsid w:val="001222E8"/>
    <w:rsid w:val="00131F74"/>
    <w:rsid w:val="001372C1"/>
    <w:rsid w:val="00173335"/>
    <w:rsid w:val="00196461"/>
    <w:rsid w:val="001A25F6"/>
    <w:rsid w:val="001D2496"/>
    <w:rsid w:val="00203FA0"/>
    <w:rsid w:val="00205504"/>
    <w:rsid w:val="00234FAE"/>
    <w:rsid w:val="00253691"/>
    <w:rsid w:val="00284B27"/>
    <w:rsid w:val="00284D49"/>
    <w:rsid w:val="002A66DE"/>
    <w:rsid w:val="002C516C"/>
    <w:rsid w:val="002D7C05"/>
    <w:rsid w:val="002F303E"/>
    <w:rsid w:val="00327C0A"/>
    <w:rsid w:val="003312DD"/>
    <w:rsid w:val="003350D8"/>
    <w:rsid w:val="00351592"/>
    <w:rsid w:val="00354E37"/>
    <w:rsid w:val="00361AF9"/>
    <w:rsid w:val="00361DDF"/>
    <w:rsid w:val="00364CF7"/>
    <w:rsid w:val="00365821"/>
    <w:rsid w:val="00380CF3"/>
    <w:rsid w:val="003A7C50"/>
    <w:rsid w:val="003F1A94"/>
    <w:rsid w:val="004014DF"/>
    <w:rsid w:val="00401503"/>
    <w:rsid w:val="00427890"/>
    <w:rsid w:val="0046053D"/>
    <w:rsid w:val="00486DA6"/>
    <w:rsid w:val="004A37BD"/>
    <w:rsid w:val="004E228B"/>
    <w:rsid w:val="004F1B7D"/>
    <w:rsid w:val="004F78B6"/>
    <w:rsid w:val="005007D4"/>
    <w:rsid w:val="00501FEC"/>
    <w:rsid w:val="00535761"/>
    <w:rsid w:val="00540807"/>
    <w:rsid w:val="00547AEF"/>
    <w:rsid w:val="00553216"/>
    <w:rsid w:val="00565657"/>
    <w:rsid w:val="00571F59"/>
    <w:rsid w:val="005972D3"/>
    <w:rsid w:val="005A34C9"/>
    <w:rsid w:val="005A4F7C"/>
    <w:rsid w:val="005C65FC"/>
    <w:rsid w:val="005D1ED5"/>
    <w:rsid w:val="005D3003"/>
    <w:rsid w:val="006034CA"/>
    <w:rsid w:val="0061348D"/>
    <w:rsid w:val="006423F8"/>
    <w:rsid w:val="006471FA"/>
    <w:rsid w:val="006505B0"/>
    <w:rsid w:val="00657D8F"/>
    <w:rsid w:val="00693ADD"/>
    <w:rsid w:val="00696884"/>
    <w:rsid w:val="00697ACA"/>
    <w:rsid w:val="00697D8B"/>
    <w:rsid w:val="006B6C45"/>
    <w:rsid w:val="006D0D83"/>
    <w:rsid w:val="006D33B3"/>
    <w:rsid w:val="006E1808"/>
    <w:rsid w:val="0071008C"/>
    <w:rsid w:val="00713809"/>
    <w:rsid w:val="00735275"/>
    <w:rsid w:val="007376B4"/>
    <w:rsid w:val="0074784B"/>
    <w:rsid w:val="00756BDF"/>
    <w:rsid w:val="007776FA"/>
    <w:rsid w:val="00777B64"/>
    <w:rsid w:val="00785158"/>
    <w:rsid w:val="007941AB"/>
    <w:rsid w:val="007A0805"/>
    <w:rsid w:val="007A613E"/>
    <w:rsid w:val="007E2376"/>
    <w:rsid w:val="00824B02"/>
    <w:rsid w:val="008337E1"/>
    <w:rsid w:val="008424E6"/>
    <w:rsid w:val="00860642"/>
    <w:rsid w:val="00872B32"/>
    <w:rsid w:val="00873F2C"/>
    <w:rsid w:val="0088747B"/>
    <w:rsid w:val="00893A9E"/>
    <w:rsid w:val="008B457A"/>
    <w:rsid w:val="008B6344"/>
    <w:rsid w:val="008C5CB4"/>
    <w:rsid w:val="008C6F06"/>
    <w:rsid w:val="008F6466"/>
    <w:rsid w:val="00907C9E"/>
    <w:rsid w:val="009107EA"/>
    <w:rsid w:val="009148AF"/>
    <w:rsid w:val="0092178B"/>
    <w:rsid w:val="009513A1"/>
    <w:rsid w:val="009677F0"/>
    <w:rsid w:val="009A00B5"/>
    <w:rsid w:val="009B4DED"/>
    <w:rsid w:val="009C5C46"/>
    <w:rsid w:val="009C7D10"/>
    <w:rsid w:val="009D168A"/>
    <w:rsid w:val="009E43B5"/>
    <w:rsid w:val="00A019F6"/>
    <w:rsid w:val="00A16931"/>
    <w:rsid w:val="00A2694B"/>
    <w:rsid w:val="00A37B32"/>
    <w:rsid w:val="00A53EDA"/>
    <w:rsid w:val="00A7123C"/>
    <w:rsid w:val="00A904B2"/>
    <w:rsid w:val="00AF6004"/>
    <w:rsid w:val="00B15674"/>
    <w:rsid w:val="00B43203"/>
    <w:rsid w:val="00B47089"/>
    <w:rsid w:val="00B53FC1"/>
    <w:rsid w:val="00B92AAD"/>
    <w:rsid w:val="00B95060"/>
    <w:rsid w:val="00B9622B"/>
    <w:rsid w:val="00B97E99"/>
    <w:rsid w:val="00BD232B"/>
    <w:rsid w:val="00BE7358"/>
    <w:rsid w:val="00C02BB9"/>
    <w:rsid w:val="00C20D44"/>
    <w:rsid w:val="00C23A0C"/>
    <w:rsid w:val="00C27ECA"/>
    <w:rsid w:val="00C323F2"/>
    <w:rsid w:val="00C5634F"/>
    <w:rsid w:val="00C74190"/>
    <w:rsid w:val="00CA46CB"/>
    <w:rsid w:val="00CB7807"/>
    <w:rsid w:val="00CD4DED"/>
    <w:rsid w:val="00D07B81"/>
    <w:rsid w:val="00D52279"/>
    <w:rsid w:val="00D66936"/>
    <w:rsid w:val="00D72ED9"/>
    <w:rsid w:val="00DA46C9"/>
    <w:rsid w:val="00E00A64"/>
    <w:rsid w:val="00E02A4E"/>
    <w:rsid w:val="00E03942"/>
    <w:rsid w:val="00E15E3C"/>
    <w:rsid w:val="00E17DAC"/>
    <w:rsid w:val="00E22AB2"/>
    <w:rsid w:val="00E33438"/>
    <w:rsid w:val="00E72615"/>
    <w:rsid w:val="00EA33B7"/>
    <w:rsid w:val="00EC01F7"/>
    <w:rsid w:val="00EF3D43"/>
    <w:rsid w:val="00EF609A"/>
    <w:rsid w:val="00EF7084"/>
    <w:rsid w:val="00F00E51"/>
    <w:rsid w:val="00F20667"/>
    <w:rsid w:val="00F23703"/>
    <w:rsid w:val="00F24592"/>
    <w:rsid w:val="00F4717E"/>
    <w:rsid w:val="00FA5060"/>
    <w:rsid w:val="00FD0791"/>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FA"/>
    <w:rPr>
      <w:rFonts w:ascii="Times New Roman" w:hAnsi="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07D4"/>
    <w:pPr>
      <w:tabs>
        <w:tab w:val="center" w:pos="4320"/>
        <w:tab w:val="right" w:pos="8640"/>
      </w:tabs>
    </w:pPr>
    <w:rPr>
      <w:rFonts w:eastAsia="Times New Roman"/>
    </w:rPr>
  </w:style>
  <w:style w:type="character" w:customStyle="1" w:styleId="FooterChar">
    <w:name w:val="Footer Char"/>
    <w:basedOn w:val="DefaultParagraphFont"/>
    <w:link w:val="Footer"/>
    <w:uiPriority w:val="99"/>
    <w:locked/>
    <w:rsid w:val="005007D4"/>
    <w:rPr>
      <w:rFonts w:ascii="Times New Roman" w:hAnsi="Times New Roman" w:cs="Times New Roman"/>
      <w:sz w:val="20"/>
      <w:szCs w:val="20"/>
      <w:lang w:val="en-US"/>
    </w:rPr>
  </w:style>
  <w:style w:type="paragraph" w:styleId="Header">
    <w:name w:val="header"/>
    <w:basedOn w:val="Normal"/>
    <w:link w:val="HeaderChar"/>
    <w:uiPriority w:val="99"/>
    <w:rsid w:val="005007D4"/>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5007D4"/>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8B634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6344"/>
    <w:rPr>
      <w:rFonts w:ascii="Segoe UI" w:hAnsi="Segoe UI" w:cs="Segoe UI"/>
      <w:sz w:val="18"/>
      <w:szCs w:val="18"/>
      <w:lang w:val="en-US"/>
    </w:rPr>
  </w:style>
  <w:style w:type="character" w:styleId="Strong">
    <w:name w:val="Strong"/>
    <w:basedOn w:val="DefaultParagraphFont"/>
    <w:uiPriority w:val="99"/>
    <w:qFormat/>
    <w:rsid w:val="007A613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276</Words>
  <Characters>1579</Characters>
  <Application>Microsoft Office Outlook</Application>
  <DocSecurity>0</DocSecurity>
  <Lines>0</Lines>
  <Paragraphs>0</Paragraphs>
  <ScaleCrop>false</ScaleCrop>
  <Company>UGent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Lamkanfi (Admin)</dc:creator>
  <cp:keywords/>
  <dc:description/>
  <cp:lastModifiedBy>10592</cp:lastModifiedBy>
  <cp:revision>4</cp:revision>
  <dcterms:created xsi:type="dcterms:W3CDTF">2019-01-24T10:07:00Z</dcterms:created>
  <dcterms:modified xsi:type="dcterms:W3CDTF">2019-01-29T03:43:00Z</dcterms:modified>
</cp:coreProperties>
</file>